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75C61" w14:textId="77777777" w:rsidR="00653AEF" w:rsidRPr="002D10FF" w:rsidRDefault="00653AEF" w:rsidP="000E5385">
      <w:bookmarkStart w:id="0" w:name="_GoBack"/>
      <w:bookmarkEnd w:id="0"/>
      <w:r w:rsidRPr="002D10FF">
        <w:rPr>
          <w:noProof/>
          <w:lang w:val="en-US" w:eastAsia="en-US"/>
        </w:rPr>
        <w:drawing>
          <wp:inline distT="0" distB="0" distL="0" distR="0" wp14:anchorId="29835189" wp14:editId="2DDBD0DC">
            <wp:extent cx="2054154" cy="624132"/>
            <wp:effectExtent l="0" t="0" r="3810" b="11430"/>
            <wp:docPr id="4" name="Picture 4" descr="44STO logo mini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4STO logo minim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54" cy="624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DA17" w14:textId="77777777" w:rsidR="00653AEF" w:rsidRPr="002D10FF" w:rsidRDefault="00653AEF" w:rsidP="000E5385">
      <w:r w:rsidRPr="002D10FF">
        <w:t>Pracownia 44STO Ewa Twardoch</w:t>
      </w:r>
    </w:p>
    <w:p w14:paraId="465E90ED" w14:textId="77777777" w:rsidR="00653AEF" w:rsidRPr="002D10FF" w:rsidRDefault="00653AEF" w:rsidP="000E5385">
      <w:r w:rsidRPr="002D10FF">
        <w:t xml:space="preserve">ul. Konarskiego 6/4, 44-100 Gliwice </w:t>
      </w:r>
    </w:p>
    <w:p w14:paraId="34EAB581" w14:textId="77777777" w:rsidR="00653AEF" w:rsidRPr="002D10FF" w:rsidRDefault="00653AEF" w:rsidP="000E5385">
      <w:r w:rsidRPr="002D10FF">
        <w:t>t. 513 105 268, www.44sto.pl</w:t>
      </w:r>
    </w:p>
    <w:p w14:paraId="2B41F4CD" w14:textId="77777777" w:rsidR="00653AEF" w:rsidRPr="002D10FF" w:rsidRDefault="00653AEF" w:rsidP="000E5385">
      <w:r w:rsidRPr="002D10FF">
        <w:t>NIP: 969 118 23 03</w:t>
      </w:r>
    </w:p>
    <w:p w14:paraId="1C591545" w14:textId="77777777" w:rsidR="00653AEF" w:rsidRPr="002D10FF" w:rsidRDefault="00653AEF" w:rsidP="000E5385"/>
    <w:p w14:paraId="2091C5C5" w14:textId="77777777" w:rsidR="00653AEF" w:rsidRPr="002D10FF" w:rsidRDefault="00653AEF" w:rsidP="000E5385"/>
    <w:p w14:paraId="135CD7E8" w14:textId="77777777" w:rsidR="00653AEF" w:rsidRPr="002D10FF" w:rsidRDefault="00653AEF" w:rsidP="000E5385"/>
    <w:p w14:paraId="6BD3A1BE" w14:textId="7E7A6F5F" w:rsidR="00653AEF" w:rsidRPr="00A6526A" w:rsidRDefault="00653AEF" w:rsidP="00A6526A">
      <w:pPr>
        <w:pBdr>
          <w:bottom w:val="single" w:sz="4" w:space="1" w:color="auto"/>
        </w:pBdr>
        <w:jc w:val="center"/>
        <w:rPr>
          <w:b/>
        </w:rPr>
      </w:pPr>
      <w:r w:rsidRPr="002D10FF">
        <w:br/>
      </w:r>
      <w:r w:rsidRPr="00A6526A">
        <w:rPr>
          <w:b/>
        </w:rPr>
        <w:t xml:space="preserve">„PARK MIEJSKI W SANDOMIERZU - </w:t>
      </w:r>
      <w:r w:rsidRPr="00A6526A">
        <w:rPr>
          <w:b/>
        </w:rPr>
        <w:br/>
        <w:t>AKTUALIZACJA DOKUMENTACJI PROJEKTOWEJ”</w:t>
      </w:r>
    </w:p>
    <w:p w14:paraId="30F0D449" w14:textId="77777777" w:rsidR="00653AEF" w:rsidRPr="002D10FF" w:rsidRDefault="00653AEF" w:rsidP="000E5385"/>
    <w:tbl>
      <w:tblPr>
        <w:tblW w:w="9631" w:type="dxa"/>
        <w:tblLayout w:type="fixed"/>
        <w:tblLook w:val="0000" w:firstRow="0" w:lastRow="0" w:firstColumn="0" w:lastColumn="0" w:noHBand="0" w:noVBand="0"/>
      </w:tblPr>
      <w:tblGrid>
        <w:gridCol w:w="2376"/>
        <w:gridCol w:w="7255"/>
      </w:tblGrid>
      <w:tr w:rsidR="00653AEF" w:rsidRPr="002D10FF" w14:paraId="3B9042A9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220CBB7B" w14:textId="77777777" w:rsidR="00653AEF" w:rsidRPr="002D10FF" w:rsidRDefault="00653AEF" w:rsidP="000E5385">
            <w:r w:rsidRPr="002D10FF">
              <w:t xml:space="preserve">Tom </w:t>
            </w:r>
          </w:p>
        </w:tc>
        <w:tc>
          <w:tcPr>
            <w:tcW w:w="7255" w:type="dxa"/>
            <w:shd w:val="clear" w:color="auto" w:fill="auto"/>
          </w:tcPr>
          <w:p w14:paraId="5D8111AF" w14:textId="77777777" w:rsidR="00653AEF" w:rsidRPr="002D10FF" w:rsidRDefault="00653AEF" w:rsidP="000E5385">
            <w:r w:rsidRPr="002D10FF">
              <w:t>III 04</w:t>
            </w:r>
          </w:p>
        </w:tc>
      </w:tr>
      <w:tr w:rsidR="00653AEF" w:rsidRPr="002D10FF" w14:paraId="441CC84F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285A304D" w14:textId="77777777" w:rsidR="00653AEF" w:rsidRPr="002D10FF" w:rsidRDefault="00653AEF" w:rsidP="000E5385">
            <w:r w:rsidRPr="002D10FF">
              <w:t>Temat opracowania:</w:t>
            </w:r>
          </w:p>
          <w:p w14:paraId="26FBCAD2" w14:textId="77777777" w:rsidR="00653AEF" w:rsidRPr="002D10FF" w:rsidRDefault="00653AEF" w:rsidP="000E5385"/>
        </w:tc>
        <w:tc>
          <w:tcPr>
            <w:tcW w:w="7255" w:type="dxa"/>
            <w:shd w:val="clear" w:color="auto" w:fill="auto"/>
          </w:tcPr>
          <w:p w14:paraId="24A0B3C1" w14:textId="77777777" w:rsidR="00653AEF" w:rsidRPr="002D10FF" w:rsidRDefault="00B55F49" w:rsidP="000E5385">
            <w:proofErr w:type="spellStart"/>
            <w:r w:rsidRPr="002D10FF">
              <w:t>ST</w:t>
            </w:r>
            <w:r w:rsidR="00653AEF" w:rsidRPr="002D10FF">
              <w:t>W</w:t>
            </w:r>
            <w:r w:rsidRPr="002D10FF">
              <w:t>i</w:t>
            </w:r>
            <w:r w:rsidR="00653AEF" w:rsidRPr="002D10FF">
              <w:t>OR</w:t>
            </w:r>
            <w:proofErr w:type="spellEnd"/>
            <w:r w:rsidR="00653AEF" w:rsidRPr="002D10FF">
              <w:t xml:space="preserve">: Mała architektura   </w:t>
            </w:r>
          </w:p>
        </w:tc>
      </w:tr>
      <w:tr w:rsidR="00653AEF" w:rsidRPr="002D10FF" w14:paraId="54E6C27F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1F3D4655" w14:textId="77777777" w:rsidR="00653AEF" w:rsidRPr="002D10FF" w:rsidRDefault="00653AEF" w:rsidP="000E5385">
            <w:r w:rsidRPr="002D10FF">
              <w:t>Obiekt:</w:t>
            </w:r>
          </w:p>
        </w:tc>
        <w:tc>
          <w:tcPr>
            <w:tcW w:w="7255" w:type="dxa"/>
            <w:shd w:val="clear" w:color="auto" w:fill="auto"/>
          </w:tcPr>
          <w:p w14:paraId="0CBFF73C" w14:textId="77777777" w:rsidR="00653AEF" w:rsidRPr="002D10FF" w:rsidRDefault="00653AEF" w:rsidP="000E5385">
            <w:r w:rsidRPr="002D10FF">
              <w:t xml:space="preserve">Park Miejski w Sandomierzu </w:t>
            </w:r>
          </w:p>
          <w:p w14:paraId="3B7C6FCB" w14:textId="77777777" w:rsidR="00653AEF" w:rsidRPr="002D10FF" w:rsidRDefault="00653AEF" w:rsidP="000E5385">
            <w:r w:rsidRPr="002D10FF">
              <w:t>Sandomierz</w:t>
            </w:r>
          </w:p>
          <w:p w14:paraId="2FD9A506" w14:textId="77777777" w:rsidR="00653AEF" w:rsidRPr="002D10FF" w:rsidRDefault="00653AEF" w:rsidP="000E5385">
            <w:r w:rsidRPr="002D10FF">
              <w:t>Nr działek: 434/2</w:t>
            </w:r>
          </w:p>
          <w:p w14:paraId="4B9CAEB2" w14:textId="77777777" w:rsidR="00653AEF" w:rsidRPr="002D10FF" w:rsidRDefault="00653AEF" w:rsidP="000E5385"/>
        </w:tc>
      </w:tr>
      <w:tr w:rsidR="00653AEF" w:rsidRPr="002D10FF" w14:paraId="21054D34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33C06831" w14:textId="77777777" w:rsidR="00653AEF" w:rsidRPr="002D10FF" w:rsidRDefault="00653AEF" w:rsidP="000E5385">
            <w:r w:rsidRPr="002D10FF">
              <w:t>Inwestor:</w:t>
            </w:r>
          </w:p>
        </w:tc>
        <w:tc>
          <w:tcPr>
            <w:tcW w:w="7255" w:type="dxa"/>
            <w:shd w:val="clear" w:color="auto" w:fill="auto"/>
          </w:tcPr>
          <w:p w14:paraId="7769E269" w14:textId="77777777" w:rsidR="00653AEF" w:rsidRPr="002D10FF" w:rsidRDefault="00653AEF" w:rsidP="000E5385">
            <w:r w:rsidRPr="002D10FF">
              <w:t>Gmina Miejska Sandomierz</w:t>
            </w:r>
          </w:p>
          <w:p w14:paraId="341FC258" w14:textId="77777777" w:rsidR="00653AEF" w:rsidRPr="002D10FF" w:rsidRDefault="00653AEF" w:rsidP="000E5385">
            <w:r w:rsidRPr="002D10FF">
              <w:t>Pl. Poniatowskiego 3</w:t>
            </w:r>
          </w:p>
          <w:p w14:paraId="416F6889" w14:textId="77777777" w:rsidR="00653AEF" w:rsidRPr="002D10FF" w:rsidRDefault="00653AEF" w:rsidP="000E5385">
            <w:r w:rsidRPr="002D10FF">
              <w:t xml:space="preserve">27-600Sandomierz </w:t>
            </w:r>
          </w:p>
          <w:p w14:paraId="6A0A1CF2" w14:textId="77777777" w:rsidR="00653AEF" w:rsidRPr="002D10FF" w:rsidRDefault="00653AEF" w:rsidP="000E5385"/>
        </w:tc>
      </w:tr>
      <w:tr w:rsidR="00653AEF" w:rsidRPr="002D10FF" w14:paraId="75F8FE60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636F7CD6" w14:textId="77777777" w:rsidR="00653AEF" w:rsidRPr="002D10FF" w:rsidRDefault="00653AEF" w:rsidP="000E5385">
            <w:r w:rsidRPr="002D10FF">
              <w:t>Opracował:</w:t>
            </w:r>
          </w:p>
        </w:tc>
        <w:tc>
          <w:tcPr>
            <w:tcW w:w="7255" w:type="dxa"/>
            <w:shd w:val="clear" w:color="auto" w:fill="auto"/>
          </w:tcPr>
          <w:p w14:paraId="4714F961" w14:textId="77777777" w:rsidR="00653AEF" w:rsidRPr="002D10FF" w:rsidRDefault="00653AEF" w:rsidP="000E5385">
            <w:r w:rsidRPr="002D10FF">
              <w:t>mgr inż. Ewa Twardoch</w:t>
            </w:r>
          </w:p>
          <w:p w14:paraId="0AAFDDB3" w14:textId="77777777" w:rsidR="00653AEF" w:rsidRPr="002D10FF" w:rsidRDefault="00653AEF" w:rsidP="000E5385">
            <w:r w:rsidRPr="002D10FF">
              <w:t xml:space="preserve">mgr inż. Marta Gocek </w:t>
            </w:r>
          </w:p>
          <w:p w14:paraId="17D8DF3E" w14:textId="77777777" w:rsidR="00653AEF" w:rsidRPr="002D10FF" w:rsidRDefault="00653AEF" w:rsidP="000E5385"/>
        </w:tc>
      </w:tr>
      <w:tr w:rsidR="00653AEF" w:rsidRPr="002D10FF" w14:paraId="4650F79F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6C439332" w14:textId="77777777" w:rsidR="00653AEF" w:rsidRPr="002D10FF" w:rsidRDefault="00653AEF" w:rsidP="000E5385">
            <w:r w:rsidRPr="002D10FF">
              <w:t>Faza:</w:t>
            </w:r>
          </w:p>
        </w:tc>
        <w:tc>
          <w:tcPr>
            <w:tcW w:w="7255" w:type="dxa"/>
            <w:shd w:val="clear" w:color="auto" w:fill="auto"/>
          </w:tcPr>
          <w:p w14:paraId="7772DBC6" w14:textId="77777777" w:rsidR="00653AEF" w:rsidRPr="002D10FF" w:rsidRDefault="00653AEF" w:rsidP="000E5385">
            <w:r w:rsidRPr="002D10FF">
              <w:t>PBW</w:t>
            </w:r>
          </w:p>
          <w:p w14:paraId="0C662974" w14:textId="77777777" w:rsidR="00653AEF" w:rsidRPr="002D10FF" w:rsidRDefault="00653AEF" w:rsidP="000E5385"/>
        </w:tc>
      </w:tr>
      <w:tr w:rsidR="00653AEF" w:rsidRPr="002D10FF" w14:paraId="6DDB0893" w14:textId="77777777" w:rsidTr="00653AEF">
        <w:trPr>
          <w:trHeight w:val="742"/>
        </w:trPr>
        <w:tc>
          <w:tcPr>
            <w:tcW w:w="2376" w:type="dxa"/>
            <w:shd w:val="clear" w:color="auto" w:fill="auto"/>
          </w:tcPr>
          <w:p w14:paraId="2B38563F" w14:textId="77777777" w:rsidR="00653AEF" w:rsidRPr="002D10FF" w:rsidRDefault="00653AEF" w:rsidP="000E5385">
            <w:r w:rsidRPr="002D10FF">
              <w:t>Data:</w:t>
            </w:r>
          </w:p>
        </w:tc>
        <w:tc>
          <w:tcPr>
            <w:tcW w:w="7255" w:type="dxa"/>
            <w:shd w:val="clear" w:color="auto" w:fill="auto"/>
          </w:tcPr>
          <w:p w14:paraId="2B516D4E" w14:textId="77777777" w:rsidR="00653AEF" w:rsidRPr="002D10FF" w:rsidRDefault="00653AEF" w:rsidP="000E5385">
            <w:r w:rsidRPr="002D10FF">
              <w:t>Listopad 2015</w:t>
            </w:r>
          </w:p>
        </w:tc>
      </w:tr>
    </w:tbl>
    <w:p w14:paraId="06E4D4EF" w14:textId="77777777" w:rsidR="00653AEF" w:rsidRPr="002D10FF" w:rsidRDefault="00653AEF" w:rsidP="000E5385"/>
    <w:p w14:paraId="13C98D19" w14:textId="77777777" w:rsidR="00653AEF" w:rsidRPr="002D10FF" w:rsidRDefault="00653AEF" w:rsidP="000E5385">
      <w:pPr>
        <w:rPr>
          <w:lang w:eastAsia="en-US"/>
        </w:rPr>
      </w:pPr>
      <w:r w:rsidRPr="002D10FF">
        <w:rPr>
          <w:lang w:eastAsia="en-US"/>
        </w:rPr>
        <w:br w:type="page"/>
      </w:r>
    </w:p>
    <w:p w14:paraId="6CBEE355" w14:textId="45EF5BAA" w:rsidR="00533CEB" w:rsidRPr="00A6526A" w:rsidRDefault="00533CEB" w:rsidP="000E5385">
      <w:pPr>
        <w:rPr>
          <w:b/>
        </w:rPr>
      </w:pPr>
      <w:r w:rsidRPr="00A6526A">
        <w:rPr>
          <w:b/>
        </w:rPr>
        <w:lastRenderedPageBreak/>
        <w:t>ELEMENTY MAŁEJ ARCHITEKTURY</w:t>
      </w:r>
    </w:p>
    <w:p w14:paraId="72241A14" w14:textId="1EA12FFE" w:rsidR="00533CEB" w:rsidRPr="00D826C4" w:rsidRDefault="00533CEB" w:rsidP="00D826C4">
      <w:pPr>
        <w:pStyle w:val="Heading1"/>
      </w:pPr>
      <w:r w:rsidRPr="00D826C4">
        <w:t>WSTĘP</w:t>
      </w:r>
    </w:p>
    <w:p w14:paraId="34C70DCB" w14:textId="77777777" w:rsidR="000E5385" w:rsidRPr="000E5385" w:rsidRDefault="000E5385" w:rsidP="00031A4C">
      <w:pPr>
        <w:pStyle w:val="Heading2"/>
      </w:pPr>
      <w:r w:rsidRPr="002D10FF">
        <w:t xml:space="preserve">Kod CPV </w:t>
      </w:r>
    </w:p>
    <w:p w14:paraId="0A9C550A" w14:textId="5368FBE3" w:rsidR="000E5385" w:rsidRPr="000E5385" w:rsidRDefault="000E5385" w:rsidP="000E5385">
      <w:r w:rsidRPr="000E5385">
        <w:t xml:space="preserve">45112720-8 </w:t>
      </w:r>
    </w:p>
    <w:p w14:paraId="6E09682D" w14:textId="2A7710AA" w:rsidR="00533CEB" w:rsidRPr="000E5385" w:rsidRDefault="00533CEB" w:rsidP="00031A4C">
      <w:pPr>
        <w:pStyle w:val="Heading2"/>
      </w:pPr>
      <w:r w:rsidRPr="000E5385">
        <w:t>Przedmiot SST.</w:t>
      </w:r>
    </w:p>
    <w:p w14:paraId="79EE6A60" w14:textId="77777777" w:rsidR="00533CEB" w:rsidRPr="002D10FF" w:rsidRDefault="00533CEB" w:rsidP="000E5385">
      <w:r w:rsidRPr="000E5385">
        <w:t>Przedmiotem niniejszej szczegółowej specyfikacji technicznej są wymagania dotyczące wykonania i</w:t>
      </w:r>
      <w:r w:rsidRPr="002D10FF">
        <w:t xml:space="preserve"> odbioru robót związanych z </w:t>
      </w:r>
      <w:r w:rsidR="00847E96" w:rsidRPr="002D10FF">
        <w:t xml:space="preserve">montażem i budową małej </w:t>
      </w:r>
      <w:r w:rsidRPr="002D10FF">
        <w:t>architektury</w:t>
      </w:r>
      <w:r w:rsidR="00847E96" w:rsidRPr="002D10FF">
        <w:t xml:space="preserve"> w Parku Miejskim w Sandomierzu. </w:t>
      </w:r>
    </w:p>
    <w:p w14:paraId="4A73D198" w14:textId="63DF186B" w:rsidR="00533CEB" w:rsidRPr="002D10FF" w:rsidRDefault="00533CEB" w:rsidP="00031A4C">
      <w:pPr>
        <w:pStyle w:val="Heading2"/>
      </w:pPr>
      <w:r w:rsidRPr="002D10FF">
        <w:t>Zakres stosowania SST.</w:t>
      </w:r>
    </w:p>
    <w:p w14:paraId="583CA3A3" w14:textId="77777777" w:rsidR="00533CEB" w:rsidRPr="002D10FF" w:rsidRDefault="00533CEB" w:rsidP="000E5385">
      <w:r w:rsidRPr="002D10FF">
        <w:t>Szczegółowa specyfikacja techniczna jest stosowana jako dokument przetargowy i kontraktowy przy zlecaniu i realizacji robót wymienionych w pkt. 1.1.</w:t>
      </w:r>
    </w:p>
    <w:p w14:paraId="295E81E0" w14:textId="00B8B70A" w:rsidR="00533CEB" w:rsidRPr="002D10FF" w:rsidRDefault="00533CEB" w:rsidP="00031A4C">
      <w:pPr>
        <w:pStyle w:val="Heading2"/>
      </w:pPr>
      <w:r w:rsidRPr="002D10FF">
        <w:t>Zakres robót objętych SST.</w:t>
      </w:r>
    </w:p>
    <w:p w14:paraId="29A94A2A" w14:textId="5B5A0DCF" w:rsidR="00533CEB" w:rsidRPr="002D10FF" w:rsidRDefault="00533CEB" w:rsidP="000E5385">
      <w:r w:rsidRPr="002D10FF">
        <w:t>Roboty, których dotyczy specyfikacja, obejmują wszystkie czynności umożliwiające i mające na celu</w:t>
      </w:r>
      <w:r w:rsidR="00B55F49" w:rsidRPr="002D10FF">
        <w:t>:</w:t>
      </w:r>
    </w:p>
    <w:p w14:paraId="5E8EF44A" w14:textId="7B67E21B" w:rsidR="00B55F49" w:rsidRPr="002D10FF" w:rsidRDefault="002D10FF" w:rsidP="000E5385">
      <w:pPr>
        <w:pStyle w:val="ListParagraph"/>
        <w:numPr>
          <w:ilvl w:val="0"/>
          <w:numId w:val="13"/>
        </w:numPr>
      </w:pPr>
      <w:r>
        <w:t>montaż mebli parkowych</w:t>
      </w:r>
    </w:p>
    <w:p w14:paraId="2D3E9C37" w14:textId="5BD2202A" w:rsidR="00533CEB" w:rsidRDefault="002D10FF" w:rsidP="000E5385">
      <w:pPr>
        <w:pStyle w:val="ListParagraph"/>
        <w:numPr>
          <w:ilvl w:val="0"/>
          <w:numId w:val="13"/>
        </w:numPr>
      </w:pPr>
      <w:r>
        <w:t>montaż elementów p</w:t>
      </w:r>
      <w:r w:rsidR="00533CEB" w:rsidRPr="002D10FF">
        <w:t>lac</w:t>
      </w:r>
      <w:r>
        <w:t>u</w:t>
      </w:r>
      <w:r w:rsidR="00533CEB" w:rsidRPr="002D10FF">
        <w:t xml:space="preserve"> zabaw</w:t>
      </w:r>
    </w:p>
    <w:p w14:paraId="71A430FF" w14:textId="77777777" w:rsidR="00221766" w:rsidRPr="002D10FF" w:rsidRDefault="00221766" w:rsidP="00221766">
      <w:pPr>
        <w:pStyle w:val="ListParagraph"/>
        <w:numPr>
          <w:ilvl w:val="0"/>
          <w:numId w:val="13"/>
        </w:numPr>
      </w:pPr>
      <w:r>
        <w:t>wykonanie ogrodzenia</w:t>
      </w:r>
      <w:r w:rsidRPr="002D10FF">
        <w:t xml:space="preserve"> placu zabaw</w:t>
      </w:r>
    </w:p>
    <w:p w14:paraId="6E59BF39" w14:textId="0409EAD7" w:rsidR="00D826C4" w:rsidRPr="002D10FF" w:rsidRDefault="00D826C4" w:rsidP="000E5385">
      <w:pPr>
        <w:pStyle w:val="ListParagraph"/>
        <w:numPr>
          <w:ilvl w:val="0"/>
          <w:numId w:val="13"/>
        </w:numPr>
      </w:pPr>
      <w:r>
        <w:t>montaż tablic</w:t>
      </w:r>
    </w:p>
    <w:p w14:paraId="4E4AF9D5" w14:textId="77777777" w:rsidR="002D10FF" w:rsidRDefault="002D10FF" w:rsidP="000E5385">
      <w:pPr>
        <w:pStyle w:val="ListParagraph"/>
        <w:numPr>
          <w:ilvl w:val="0"/>
          <w:numId w:val="13"/>
        </w:numPr>
      </w:pPr>
      <w:r>
        <w:t xml:space="preserve">wykonanie </w:t>
      </w:r>
      <w:proofErr w:type="spellStart"/>
      <w:r>
        <w:t>witaczy</w:t>
      </w:r>
      <w:proofErr w:type="spellEnd"/>
    </w:p>
    <w:p w14:paraId="364C4432" w14:textId="396046FB" w:rsidR="00B55F49" w:rsidRDefault="002D10FF" w:rsidP="000E5385">
      <w:pPr>
        <w:pStyle w:val="ListParagraph"/>
        <w:numPr>
          <w:ilvl w:val="0"/>
          <w:numId w:val="13"/>
        </w:numPr>
      </w:pPr>
      <w:r>
        <w:t xml:space="preserve">remont muru </w:t>
      </w:r>
      <w:r w:rsidR="00B55F49" w:rsidRPr="002D10FF">
        <w:t xml:space="preserve"> </w:t>
      </w:r>
    </w:p>
    <w:p w14:paraId="3DFEEF62" w14:textId="3D8FE9F8" w:rsidR="002D10FF" w:rsidRPr="002D10FF" w:rsidRDefault="002D10FF" w:rsidP="000E5385">
      <w:pPr>
        <w:pStyle w:val="ListParagraph"/>
        <w:numPr>
          <w:ilvl w:val="0"/>
          <w:numId w:val="13"/>
        </w:numPr>
      </w:pPr>
      <w:r>
        <w:t>zasypanie szaletów</w:t>
      </w:r>
    </w:p>
    <w:p w14:paraId="26E0FF7E" w14:textId="0B82FAC6" w:rsidR="00533CEB" w:rsidRPr="002D10FF" w:rsidRDefault="00533CEB" w:rsidP="00031A4C">
      <w:pPr>
        <w:pStyle w:val="Heading2"/>
      </w:pPr>
      <w:r w:rsidRPr="002D10FF">
        <w:t>Określenia podstawowe.</w:t>
      </w:r>
    </w:p>
    <w:p w14:paraId="20B649A3" w14:textId="77777777" w:rsidR="00533CEB" w:rsidRPr="002D10FF" w:rsidRDefault="00533CEB" w:rsidP="000E5385">
      <w:r w:rsidRPr="002D10FF">
        <w:t>Określenia podane w niniejszej SST są zgodne z obowiązującymi odpowiednimi normami.</w:t>
      </w:r>
    </w:p>
    <w:p w14:paraId="0C33A2EC" w14:textId="39E8313C" w:rsidR="00533CEB" w:rsidRPr="002D10FF" w:rsidRDefault="00533CEB" w:rsidP="00D826C4">
      <w:pPr>
        <w:pStyle w:val="Heading1"/>
      </w:pPr>
      <w:r w:rsidRPr="002D10FF">
        <w:t>Materiały</w:t>
      </w:r>
    </w:p>
    <w:p w14:paraId="33FDEDC2" w14:textId="77777777" w:rsidR="001850C9" w:rsidRPr="00031A4C" w:rsidRDefault="001850C9" w:rsidP="00031A4C">
      <w:pPr>
        <w:pStyle w:val="Heading2"/>
      </w:pPr>
      <w:r w:rsidRPr="00031A4C">
        <w:t xml:space="preserve">Ogólne wymagania dotyczące materiałów </w:t>
      </w:r>
    </w:p>
    <w:p w14:paraId="2F9703E5" w14:textId="77777777" w:rsidR="00533CEB" w:rsidRPr="002D10FF" w:rsidRDefault="00533CEB" w:rsidP="000E5385">
      <w:r w:rsidRPr="002D10FF">
        <w:t>Ogólne wymagania dotyczące materiałów, ich pozyskiwania i składowania podano w SST Wymagania ogólne.</w:t>
      </w:r>
    </w:p>
    <w:p w14:paraId="4F7D288E" w14:textId="77777777" w:rsidR="001850C9" w:rsidRPr="002D10FF" w:rsidRDefault="001850C9" w:rsidP="00031A4C">
      <w:pPr>
        <w:pStyle w:val="Heading2"/>
      </w:pPr>
      <w:r w:rsidRPr="002D10FF">
        <w:t xml:space="preserve">Rodzaje materiałów </w:t>
      </w:r>
    </w:p>
    <w:p w14:paraId="040B9B3A" w14:textId="4C4EC2AE" w:rsidR="0065248E" w:rsidRPr="0065248E" w:rsidRDefault="0065248E" w:rsidP="0065248E">
      <w:pPr>
        <w:pStyle w:val="Heading3"/>
      </w:pPr>
      <w:r w:rsidRPr="0065248E">
        <w:t>Meble parkowe:</w:t>
      </w:r>
    </w:p>
    <w:p w14:paraId="296914F1" w14:textId="61B55EC5" w:rsidR="00321036" w:rsidRPr="002D10FF" w:rsidRDefault="0065248E" w:rsidP="000E5385">
      <w:r>
        <w:t>Meble parkowe, to elementy gotowe wykonane z następujących materiałów:</w:t>
      </w:r>
    </w:p>
    <w:p w14:paraId="2BE57538" w14:textId="77777777" w:rsidR="00031A4C" w:rsidRDefault="00031A4C" w:rsidP="00031A4C">
      <w:pPr>
        <w:pStyle w:val="ListParagraph"/>
        <w:numPr>
          <w:ilvl w:val="0"/>
          <w:numId w:val="16"/>
        </w:numPr>
      </w:pPr>
      <w:r>
        <w:t xml:space="preserve">Ławki ze stali ocynkowanej i drewna </w:t>
      </w:r>
      <w:proofErr w:type="spellStart"/>
      <w:r>
        <w:t>iroko</w:t>
      </w:r>
      <w:proofErr w:type="spellEnd"/>
    </w:p>
    <w:p w14:paraId="3E421105" w14:textId="5C09C57B" w:rsidR="00031A4C" w:rsidRDefault="00031A4C" w:rsidP="00031A4C">
      <w:pPr>
        <w:pStyle w:val="ListParagraph"/>
        <w:numPr>
          <w:ilvl w:val="0"/>
          <w:numId w:val="16"/>
        </w:numPr>
      </w:pPr>
      <w:r>
        <w:t>Kosze na śmieci i psie odchody ze stali kwasoodpornej</w:t>
      </w:r>
    </w:p>
    <w:p w14:paraId="7DE9E429" w14:textId="6C11018E" w:rsidR="00031A4C" w:rsidRDefault="00031A4C" w:rsidP="00031A4C">
      <w:pPr>
        <w:pStyle w:val="ListParagraph"/>
        <w:numPr>
          <w:ilvl w:val="0"/>
          <w:numId w:val="16"/>
        </w:numPr>
      </w:pPr>
      <w:r>
        <w:t xml:space="preserve">Leżaki ze stali ocynkowanej i drewna </w:t>
      </w:r>
      <w:proofErr w:type="spellStart"/>
      <w:r>
        <w:t>iroko</w:t>
      </w:r>
      <w:proofErr w:type="spellEnd"/>
    </w:p>
    <w:p w14:paraId="10E2E8FE" w14:textId="33BB45A5" w:rsidR="00031A4C" w:rsidRDefault="00031A4C" w:rsidP="00031A4C">
      <w:pPr>
        <w:pStyle w:val="ListParagraph"/>
        <w:numPr>
          <w:ilvl w:val="0"/>
          <w:numId w:val="16"/>
        </w:numPr>
      </w:pPr>
      <w:r>
        <w:t>Stojaki na rowery ze stali kwasoodpornej</w:t>
      </w:r>
    </w:p>
    <w:p w14:paraId="6375A802" w14:textId="326B9A84" w:rsidR="00031A4C" w:rsidRDefault="00031A4C" w:rsidP="00031A4C">
      <w:pPr>
        <w:pStyle w:val="ListParagraph"/>
        <w:numPr>
          <w:ilvl w:val="0"/>
          <w:numId w:val="16"/>
        </w:numPr>
      </w:pPr>
      <w:r>
        <w:t>Ławy z betonu architektonicznego</w:t>
      </w:r>
    </w:p>
    <w:p w14:paraId="3DA17CC7" w14:textId="77777777" w:rsidR="0065248E" w:rsidRDefault="0065248E" w:rsidP="0065248E">
      <w:pPr>
        <w:pStyle w:val="Heading3"/>
      </w:pPr>
      <w:r>
        <w:t>Plac zabaw:</w:t>
      </w:r>
    </w:p>
    <w:p w14:paraId="52F80400" w14:textId="4C8E04A1" w:rsidR="00306428" w:rsidRDefault="0065248E" w:rsidP="000E5385">
      <w:r>
        <w:t xml:space="preserve">Urządzenia zabawowe montowane na placu zabaw, to elementy gotowe wykonane z następujących materiałów: stal kwasoodporna, stal nierdzewna, </w:t>
      </w:r>
      <w:r w:rsidR="00221766">
        <w:t xml:space="preserve">stal cynkowana, trójwarstwowa </w:t>
      </w:r>
      <w:r>
        <w:t>sklejka</w:t>
      </w:r>
      <w:r w:rsidR="00221766">
        <w:t xml:space="preserve"> wodoodporna</w:t>
      </w:r>
      <w:r>
        <w:t xml:space="preserve">, drewno modrzewiowe, </w:t>
      </w:r>
      <w:r w:rsidR="00221766">
        <w:t xml:space="preserve">dębowe, tworzywo sztuczne. </w:t>
      </w:r>
    </w:p>
    <w:p w14:paraId="7F547C1C" w14:textId="7BFA0175" w:rsidR="00221766" w:rsidRDefault="00221766" w:rsidP="000E5385">
      <w:r>
        <w:t xml:space="preserve">Ogrodzenie wykonane ze stali ocynkowanej i drewna </w:t>
      </w:r>
      <w:proofErr w:type="spellStart"/>
      <w:r>
        <w:t>robiniowego</w:t>
      </w:r>
      <w:proofErr w:type="spellEnd"/>
      <w:r>
        <w:t xml:space="preserve">. </w:t>
      </w:r>
    </w:p>
    <w:p w14:paraId="649A69BB" w14:textId="77777777" w:rsidR="00C327D1" w:rsidRDefault="00221766" w:rsidP="000E5385">
      <w:r>
        <w:t>Piaskownica wykonana z betonu i drewna świerkowego.</w:t>
      </w:r>
    </w:p>
    <w:p w14:paraId="4116EE8C" w14:textId="5F26A2DB" w:rsidR="00221766" w:rsidRDefault="00C327D1" w:rsidP="000E5385">
      <w:r w:rsidRPr="002D10FF">
        <w:t>Wszystkie montowane urządzenia i elementy wyposażenia placu zabaw muszą posiadać́ atesty i certyfikaty bezpieczeństwa wydawane przez Urząd Dozoru Technicznego oraz Instytut Sportu potwierdzające, ze zostały wyk</w:t>
      </w:r>
      <w:r>
        <w:t>onane w oparciu o obowiązujące</w:t>
      </w:r>
      <w:r w:rsidRPr="002D10FF">
        <w:t xml:space="preserve"> normy w tym zakresie oraz posiadać́ dopuszczenie do stosowania w kontakcie z dziećmi.</w:t>
      </w:r>
      <w:r>
        <w:t xml:space="preserve"> </w:t>
      </w:r>
      <w:r w:rsidR="00221766">
        <w:t xml:space="preserve"> </w:t>
      </w:r>
    </w:p>
    <w:p w14:paraId="54946381" w14:textId="77777777" w:rsidR="00C327D1" w:rsidRPr="002D10FF" w:rsidRDefault="00C327D1" w:rsidP="00C327D1">
      <w:r w:rsidRPr="002D10FF">
        <w:t>Wszystkie zastosowane przez wykonawcę̨ urządzenia muszą by</w:t>
      </w:r>
      <w:r>
        <w:t>ć</w:t>
      </w:r>
      <w:r w:rsidRPr="002D10FF">
        <w:t xml:space="preserve"> zgodne z opisanymi w projekcie budowlanym pod względem: </w:t>
      </w:r>
    </w:p>
    <w:p w14:paraId="5BBA34E9" w14:textId="77777777" w:rsidR="00C327D1" w:rsidRPr="002D10FF" w:rsidRDefault="00C327D1" w:rsidP="00C327D1">
      <w:pPr>
        <w:pStyle w:val="ListParagraph"/>
        <w:numPr>
          <w:ilvl w:val="0"/>
          <w:numId w:val="27"/>
        </w:numPr>
        <w:jc w:val="left"/>
      </w:pPr>
      <w:r w:rsidRPr="002D10FF">
        <w:t>gabarytów i konstrukcji (wielkość́, rodzaj i liczba elementów składowych),  </w:t>
      </w:r>
    </w:p>
    <w:p w14:paraId="118CC1D0" w14:textId="77777777" w:rsidR="00C327D1" w:rsidRPr="002D10FF" w:rsidRDefault="00C327D1" w:rsidP="00C327D1">
      <w:pPr>
        <w:pStyle w:val="ListParagraph"/>
        <w:numPr>
          <w:ilvl w:val="0"/>
          <w:numId w:val="27"/>
        </w:numPr>
        <w:jc w:val="left"/>
      </w:pPr>
      <w:r w:rsidRPr="002D10FF">
        <w:t>charakteru użytkowego (tożsamość́ funkcji),  </w:t>
      </w:r>
    </w:p>
    <w:p w14:paraId="5FF40301" w14:textId="77777777" w:rsidR="00C327D1" w:rsidRPr="002D10FF" w:rsidRDefault="00C327D1" w:rsidP="00C327D1">
      <w:pPr>
        <w:pStyle w:val="ListParagraph"/>
        <w:numPr>
          <w:ilvl w:val="0"/>
          <w:numId w:val="27"/>
        </w:numPr>
        <w:jc w:val="left"/>
      </w:pPr>
      <w:r w:rsidRPr="002D10FF">
        <w:t>charakterystyki materiałowej (rodzaj i jakość́ tworzywa),  </w:t>
      </w:r>
    </w:p>
    <w:p w14:paraId="2F243147" w14:textId="77777777" w:rsidR="00C327D1" w:rsidRPr="002D10FF" w:rsidRDefault="00C327D1" w:rsidP="00C327D1">
      <w:pPr>
        <w:pStyle w:val="ListParagraph"/>
        <w:numPr>
          <w:ilvl w:val="0"/>
          <w:numId w:val="27"/>
        </w:numPr>
        <w:jc w:val="left"/>
      </w:pPr>
      <w:r w:rsidRPr="002D10FF">
        <w:t>parametrów technicznych ( np. trwałość́, konstrukcja, fundamentowanie itp.),  </w:t>
      </w:r>
    </w:p>
    <w:p w14:paraId="1A834A8F" w14:textId="77777777" w:rsidR="00C327D1" w:rsidRPr="002D10FF" w:rsidRDefault="00C327D1" w:rsidP="00C327D1">
      <w:pPr>
        <w:pStyle w:val="ListParagraph"/>
        <w:numPr>
          <w:ilvl w:val="0"/>
          <w:numId w:val="27"/>
        </w:numPr>
        <w:jc w:val="left"/>
      </w:pPr>
      <w:r w:rsidRPr="002D10FF">
        <w:t>parametrów bezpieczeństwa użytkowania (nieurazowość́, nietoksyczność́, zasięg strefy  bezpieczeństwa, itp.),  </w:t>
      </w:r>
    </w:p>
    <w:p w14:paraId="081624F4" w14:textId="39F770CC" w:rsidR="00C327D1" w:rsidRDefault="00C327D1" w:rsidP="000E5385">
      <w:pPr>
        <w:pStyle w:val="ListParagraph"/>
        <w:numPr>
          <w:ilvl w:val="0"/>
          <w:numId w:val="27"/>
        </w:numPr>
        <w:jc w:val="left"/>
      </w:pPr>
      <w:r w:rsidRPr="002D10FF">
        <w:t xml:space="preserve">wyglądu (struktura, faktura, barwa, proporcje elementów składowych). </w:t>
      </w:r>
    </w:p>
    <w:p w14:paraId="17E837F5" w14:textId="6C0937E6" w:rsidR="00221766" w:rsidRDefault="00221766" w:rsidP="00221766">
      <w:pPr>
        <w:pStyle w:val="Heading3"/>
      </w:pPr>
      <w:r>
        <w:t>Tablice:</w:t>
      </w:r>
    </w:p>
    <w:p w14:paraId="15014037" w14:textId="4711245A" w:rsidR="00221766" w:rsidRPr="002D10FF" w:rsidRDefault="00221766" w:rsidP="000E5385">
      <w:r>
        <w:t xml:space="preserve">Tablice wykonane z pleksi i drewna świerkowego. </w:t>
      </w:r>
    </w:p>
    <w:p w14:paraId="393EC208" w14:textId="576D6021" w:rsidR="001850C9" w:rsidRDefault="00221766" w:rsidP="00221766">
      <w:pPr>
        <w:pStyle w:val="Heading3"/>
      </w:pPr>
      <w:proofErr w:type="spellStart"/>
      <w:r>
        <w:t>Witacze</w:t>
      </w:r>
      <w:proofErr w:type="spellEnd"/>
      <w:r>
        <w:t>:</w:t>
      </w:r>
    </w:p>
    <w:p w14:paraId="42F8A20B" w14:textId="42933C43" w:rsidR="00221766" w:rsidRDefault="00221766" w:rsidP="000E5385">
      <w:proofErr w:type="spellStart"/>
      <w:r>
        <w:t>Witacze</w:t>
      </w:r>
      <w:proofErr w:type="spellEnd"/>
      <w:r>
        <w:t xml:space="preserve"> wykonane ze stali </w:t>
      </w:r>
      <w:proofErr w:type="spellStart"/>
      <w:r>
        <w:t>korteńskiej</w:t>
      </w:r>
      <w:proofErr w:type="spellEnd"/>
      <w:r>
        <w:t xml:space="preserve">. </w:t>
      </w:r>
    </w:p>
    <w:p w14:paraId="257BBB1F" w14:textId="517E3B07" w:rsidR="00221766" w:rsidRDefault="00221766" w:rsidP="00221766">
      <w:pPr>
        <w:pStyle w:val="Heading3"/>
      </w:pPr>
      <w:r>
        <w:t>Murek</w:t>
      </w:r>
    </w:p>
    <w:p w14:paraId="16C65381" w14:textId="32AC7A21" w:rsidR="00221766" w:rsidRDefault="00221766" w:rsidP="000E5385">
      <w:r>
        <w:t xml:space="preserve">Murek obłożony płytami betonowymi. Siedziska ze stali ocynkowanej i drewna </w:t>
      </w:r>
      <w:proofErr w:type="spellStart"/>
      <w:r>
        <w:t>iroko</w:t>
      </w:r>
      <w:proofErr w:type="spellEnd"/>
      <w:r>
        <w:t xml:space="preserve">. </w:t>
      </w:r>
    </w:p>
    <w:p w14:paraId="4AAADBD8" w14:textId="58941FEA" w:rsidR="00221766" w:rsidRDefault="00221766" w:rsidP="00221766">
      <w:pPr>
        <w:pStyle w:val="Heading3"/>
      </w:pPr>
      <w:r>
        <w:t>Szalet</w:t>
      </w:r>
    </w:p>
    <w:p w14:paraId="17C0C00B" w14:textId="0B563468" w:rsidR="00221766" w:rsidRPr="002D10FF" w:rsidRDefault="00221766" w:rsidP="000E5385">
      <w:r>
        <w:t xml:space="preserve">Szalet zasypany gruzem. </w:t>
      </w:r>
    </w:p>
    <w:p w14:paraId="37A676A3" w14:textId="05252338" w:rsidR="00533CEB" w:rsidRPr="002D10FF" w:rsidRDefault="00533CEB" w:rsidP="00221766">
      <w:pPr>
        <w:pStyle w:val="Heading1"/>
      </w:pPr>
      <w:r w:rsidRPr="002D10FF">
        <w:t>Sprzęt</w:t>
      </w:r>
    </w:p>
    <w:p w14:paraId="1F6D6D59" w14:textId="77777777" w:rsidR="001850C9" w:rsidRPr="002D10FF" w:rsidRDefault="001850C9" w:rsidP="000E5385">
      <w:r w:rsidRPr="002D10FF">
        <w:t xml:space="preserve">Do wykonania robót </w:t>
      </w:r>
      <w:r w:rsidR="00083E99" w:rsidRPr="002D10FF">
        <w:t>związanych</w:t>
      </w:r>
      <w:r w:rsidRPr="002D10FF">
        <w:t xml:space="preserve"> z ustawieniem elementów małej architektury </w:t>
      </w:r>
      <w:r w:rsidR="00083E99" w:rsidRPr="002D10FF">
        <w:t>być</w:t>
      </w:r>
      <w:r w:rsidRPr="002D10FF">
        <w:t xml:space="preserve">́ wykorzystany </w:t>
      </w:r>
      <w:r w:rsidR="00083E99" w:rsidRPr="002D10FF">
        <w:t>sprzęt podany poniże</w:t>
      </w:r>
      <w:r w:rsidRPr="002D10FF">
        <w:t>j , l</w:t>
      </w:r>
      <w:r w:rsidR="00083E99" w:rsidRPr="002D10FF">
        <w:t>ub inny zaakceptowany przez Inż</w:t>
      </w:r>
      <w:r w:rsidRPr="002D10FF">
        <w:t xml:space="preserve">yniera: </w:t>
      </w:r>
    </w:p>
    <w:p w14:paraId="4408B9BC" w14:textId="77777777" w:rsidR="001850C9" w:rsidRDefault="001850C9" w:rsidP="000E5385">
      <w:r w:rsidRPr="002D10FF">
        <w:t>samochód dostawczy  </w:t>
      </w:r>
    </w:p>
    <w:p w14:paraId="0DABB5D2" w14:textId="13661440" w:rsidR="00875B1C" w:rsidRDefault="00875B1C" w:rsidP="000E5385">
      <w:r>
        <w:t xml:space="preserve">betoniarka </w:t>
      </w:r>
    </w:p>
    <w:p w14:paraId="0F6AE87F" w14:textId="45CB1FDF" w:rsidR="00875B1C" w:rsidRDefault="00875B1C" w:rsidP="000E5385">
      <w:r>
        <w:t>spawarka</w:t>
      </w:r>
    </w:p>
    <w:p w14:paraId="1DCA494D" w14:textId="77777777" w:rsidR="001850C9" w:rsidRPr="002D10FF" w:rsidRDefault="00083E99" w:rsidP="000E5385">
      <w:r w:rsidRPr="002D10FF">
        <w:t>ż</w:t>
      </w:r>
      <w:r w:rsidR="001850C9" w:rsidRPr="002D10FF">
        <w:t>urawie samochodowe  </w:t>
      </w:r>
    </w:p>
    <w:p w14:paraId="3F5EFFB1" w14:textId="26B6B2CC" w:rsidR="001850C9" w:rsidRDefault="00083E99" w:rsidP="000E5385">
      <w:r w:rsidRPr="002D10FF">
        <w:t>wyciągi</w:t>
      </w:r>
      <w:r w:rsidR="001850C9" w:rsidRPr="002D10FF">
        <w:t xml:space="preserve">  </w:t>
      </w:r>
    </w:p>
    <w:p w14:paraId="57D89E95" w14:textId="5F061D7E" w:rsidR="00875B1C" w:rsidRPr="00875B1C" w:rsidRDefault="00875B1C" w:rsidP="00875B1C">
      <w:r w:rsidRPr="00875B1C">
        <w:t>Sprzęt stosowany do robót powinien być́ sprawny i zaakceptowany przez Inspektora Nadzoru. Dopuszczalne jest stosowanie zamienników w stosunku do wymienionych rodzajów sprzętu przy zało</w:t>
      </w:r>
      <w:r>
        <w:t>ż</w:t>
      </w:r>
      <w:r w:rsidRPr="00875B1C">
        <w:t>eniu, i</w:t>
      </w:r>
      <w:r>
        <w:t>ż</w:t>
      </w:r>
      <w:r w:rsidRPr="00875B1C">
        <w:t xml:space="preserve"> nie pogorszy to jakości wykonywanych robót oraz nie stworzy zagro</w:t>
      </w:r>
      <w:r>
        <w:t>ż</w:t>
      </w:r>
      <w:r w:rsidRPr="00875B1C">
        <w:t xml:space="preserve">enia w trakcie prowadzenia robót oraz w późniejszej eksploatacji obiektu. </w:t>
      </w:r>
    </w:p>
    <w:p w14:paraId="1C9282AF" w14:textId="77777777" w:rsidR="00875B1C" w:rsidRPr="002D10FF" w:rsidRDefault="00875B1C" w:rsidP="000E5385"/>
    <w:p w14:paraId="3A83F1C2" w14:textId="49F5F401" w:rsidR="00533CEB" w:rsidRPr="002D10FF" w:rsidRDefault="00533CEB" w:rsidP="00C327D1">
      <w:pPr>
        <w:pStyle w:val="Heading1"/>
      </w:pPr>
      <w:r w:rsidRPr="002D10FF">
        <w:t>Transport</w:t>
      </w:r>
    </w:p>
    <w:p w14:paraId="72DE6BC0" w14:textId="77777777" w:rsidR="00533CEB" w:rsidRPr="002D10FF" w:rsidRDefault="00533CEB" w:rsidP="000E5385">
      <w:r w:rsidRPr="002D10FF">
        <w:t>Materiały na budowę powinny być przewożone odpowiednimi środkami transportu, że</w:t>
      </w:r>
      <w:r w:rsidR="00083E99" w:rsidRPr="002D10FF">
        <w:t xml:space="preserve">by uniknąć trwałych odkształceń, </w:t>
      </w:r>
      <w:r w:rsidRPr="002D10FF">
        <w:t>zgodnie z przepisami BHP i ruchu drogowego.</w:t>
      </w:r>
    </w:p>
    <w:p w14:paraId="59D8A181" w14:textId="7B9EB788" w:rsidR="00533CEB" w:rsidRDefault="00533CEB" w:rsidP="00C327D1">
      <w:pPr>
        <w:pStyle w:val="Heading1"/>
      </w:pPr>
      <w:r w:rsidRPr="002D10FF">
        <w:t>Wykonanie robót</w:t>
      </w:r>
    </w:p>
    <w:p w14:paraId="15C7A67A" w14:textId="274A4D18" w:rsidR="00875B1C" w:rsidRPr="00875B1C" w:rsidRDefault="00875B1C" w:rsidP="00875B1C">
      <w:pPr>
        <w:pStyle w:val="Heading2"/>
        <w:rPr>
          <w:rFonts w:eastAsia="Arial"/>
          <w:b w:val="0"/>
          <w:bCs w:val="0"/>
        </w:rPr>
      </w:pPr>
      <w:r w:rsidRPr="00875B1C">
        <w:rPr>
          <w:rFonts w:eastAsia="Arial"/>
          <w:b w:val="0"/>
          <w:bCs w:val="0"/>
        </w:rPr>
        <w:t xml:space="preserve">Ogólne wymagania </w:t>
      </w:r>
    </w:p>
    <w:p w14:paraId="74B5ACE5" w14:textId="162AAC37" w:rsidR="00875B1C" w:rsidRPr="00875B1C" w:rsidRDefault="00875B1C" w:rsidP="00875B1C">
      <w:pPr>
        <w:widowControl w:val="0"/>
        <w:autoSpaceDE w:val="0"/>
        <w:autoSpaceDN w:val="0"/>
        <w:adjustRightInd w:val="0"/>
        <w:jc w:val="left"/>
      </w:pPr>
      <w:r w:rsidRPr="00875B1C">
        <w:t>Roboty budowlane powinny być́ wykonane zgodnie ze szczegółowymi wymaganiami technicznymi wykonania oraz wymaganiami w zakresie wykonania i badania przy odbiorze, określonymi w obowiązujących normach i przepisach i wytycznych oraz zgodnie z ogólnie stosowanymi zasadami. Przed przystąpieniem do robót Wykonawca ma obowiązek sprawdzić́ zgodność́ warunków wyjściowych z danymi zawartymi w projekcie technicznym. Wszelkie odstępstwa powinny być́ zarejestrowane w Dzienniku Budowy i potwierdzone przez Inspektora Nadzoru. W razie wątpliwości co do możliwości realizacji robót w sposób zgodny z dokumentacją nale</w:t>
      </w:r>
      <w:r>
        <w:t>ż</w:t>
      </w:r>
      <w:r w:rsidRPr="00875B1C">
        <w:t xml:space="preserve">y dokonać́ uzgodnień́ z Projektantem. </w:t>
      </w:r>
    </w:p>
    <w:p w14:paraId="08A64571" w14:textId="74CE05BB" w:rsidR="00875B1C" w:rsidRDefault="00875B1C" w:rsidP="00875B1C">
      <w:pPr>
        <w:widowControl w:val="0"/>
        <w:autoSpaceDE w:val="0"/>
        <w:autoSpaceDN w:val="0"/>
        <w:adjustRightInd w:val="0"/>
        <w:jc w:val="left"/>
      </w:pPr>
      <w:r w:rsidRPr="00875B1C">
        <w:t>Nale</w:t>
      </w:r>
      <w:r>
        <w:t>ż</w:t>
      </w:r>
      <w:r w:rsidRPr="00875B1C">
        <w:t>y zapewnić́ bezpieczeństwo pracy robotników oraz osób postronnych mogących znaleźć́ się̨ w pobli</w:t>
      </w:r>
      <w:r>
        <w:t>ż</w:t>
      </w:r>
      <w:r w:rsidRPr="00875B1C">
        <w:t>u miejsca (strefy) prac, zgodnie z planem BIOZ i z aktualnymi przepisami dotyczącymi bhp przy wykonywaniu robót budowlanych. </w:t>
      </w:r>
    </w:p>
    <w:p w14:paraId="393563CF" w14:textId="77777777" w:rsidR="00CC7401" w:rsidRDefault="00CC7401" w:rsidP="00CC7401">
      <w:pPr>
        <w:widowControl w:val="0"/>
        <w:autoSpaceDE w:val="0"/>
        <w:autoSpaceDN w:val="0"/>
        <w:adjustRightInd w:val="0"/>
        <w:jc w:val="left"/>
      </w:pPr>
      <w:r w:rsidRPr="00CC7401">
        <w:t>Przed przystąpieniem do wykonywania robót nale</w:t>
      </w:r>
      <w:r>
        <w:t>ż</w:t>
      </w:r>
      <w:r w:rsidRPr="00CC7401">
        <w:t>y sprawdzić́ zgodność́ ukształtowania i rzędnych terenu z danymi podanymi w projekcie. W tym celu nale</w:t>
      </w:r>
      <w:r>
        <w:t>ż</w:t>
      </w:r>
      <w:r w:rsidRPr="00CC7401">
        <w:t xml:space="preserve">y wykonać́ kontrolny pomiar </w:t>
      </w:r>
      <w:proofErr w:type="spellStart"/>
      <w:r w:rsidRPr="00CC7401">
        <w:t>sytuacyjno</w:t>
      </w:r>
      <w:proofErr w:type="spellEnd"/>
      <w:r>
        <w:t xml:space="preserve"> </w:t>
      </w:r>
      <w:r w:rsidRPr="00CC7401">
        <w:t>-</w:t>
      </w:r>
      <w:r>
        <w:t xml:space="preserve"> </w:t>
      </w:r>
      <w:r w:rsidRPr="00CC7401">
        <w:t>wysokościowy. W przypadku wystąpienia odmiennych warunków od uwidocznionych w projekcie budowlanym Wykonawca powinien powiadomić́ o tym fakcie Inspektora Nadzoru i Projektanta oraz wstrzymać</w:t>
      </w:r>
      <w:r>
        <w:t xml:space="preserve"> </w:t>
      </w:r>
      <w:r w:rsidRPr="00CC7401">
        <w:t>prowadzenie robót, jeżeli dalsze ich prowadzenie mo</w:t>
      </w:r>
      <w:r>
        <w:t>ż</w:t>
      </w:r>
      <w:r w:rsidRPr="00CC7401">
        <w:t>e wpłynąć na bezpieczeństwo konstrukcji lub robót oraz ich estetykę̨ i trwałość́. Zgodę na wznowienie robót wydaje Inspektor Nadzoru na wniosek Wykonawcy po przedło</w:t>
      </w:r>
      <w:r>
        <w:t>ż</w:t>
      </w:r>
      <w:r w:rsidRPr="00CC7401">
        <w:t xml:space="preserve">eniu przez Wykonawcę̨: </w:t>
      </w:r>
    </w:p>
    <w:p w14:paraId="17998068" w14:textId="77777777" w:rsidR="00CC7401" w:rsidRDefault="00CC7401" w:rsidP="00CC7401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jc w:val="left"/>
      </w:pPr>
      <w:r w:rsidRPr="00CC7401">
        <w:t>Opinii Projektanta co do sposobu dalszego prowadzenia robót oraz wprowadzenia ewen</w:t>
      </w:r>
      <w:r>
        <w:t>tualnych zmian konstrukcyjnych,</w:t>
      </w:r>
    </w:p>
    <w:p w14:paraId="556934B9" w14:textId="490A521B" w:rsidR="00CC7401" w:rsidRPr="00CC7401" w:rsidRDefault="00CC7401" w:rsidP="00CC7401">
      <w:pPr>
        <w:pStyle w:val="ListParagraph"/>
        <w:widowControl w:val="0"/>
        <w:numPr>
          <w:ilvl w:val="0"/>
          <w:numId w:val="36"/>
        </w:numPr>
        <w:autoSpaceDE w:val="0"/>
        <w:autoSpaceDN w:val="0"/>
        <w:adjustRightInd w:val="0"/>
        <w:jc w:val="left"/>
      </w:pPr>
      <w:r w:rsidRPr="00CC7401">
        <w:t xml:space="preserve">Skutków finansowych wynikających z wykonania dalszych robót w sposób i w zakresie odmiennym od pierwotnego. </w:t>
      </w:r>
    </w:p>
    <w:p w14:paraId="24109AFB" w14:textId="6D4EF85E" w:rsidR="00CC7401" w:rsidRPr="00875B1C" w:rsidRDefault="00CC7401" w:rsidP="00CC7401">
      <w:pPr>
        <w:widowControl w:val="0"/>
        <w:autoSpaceDE w:val="0"/>
        <w:autoSpaceDN w:val="0"/>
        <w:adjustRightInd w:val="0"/>
        <w:spacing w:after="240"/>
        <w:jc w:val="left"/>
      </w:pPr>
      <w:r w:rsidRPr="00CC7401">
        <w:t xml:space="preserve">W trakcie prowadzenia robót Wykonawca zobowiązany jest uwzględnić ochronę środowiska na obszarze prowadzenia prac, a w szczególności ochronę̨ gleby, zieleni, naturalnego ukształtowania terenu i stosunków wodnych (Ustawa z dnia 27.04.2001 r. Prawo ochrony </w:t>
      </w:r>
      <w:proofErr w:type="spellStart"/>
      <w:r w:rsidRPr="00CC7401">
        <w:t>środowiska</w:t>
      </w:r>
      <w:proofErr w:type="spellEnd"/>
      <w:r w:rsidRPr="00CC7401">
        <w:t xml:space="preserve"> - Dz. U. Nr 62 poz.627 z </w:t>
      </w:r>
      <w:proofErr w:type="spellStart"/>
      <w:r w:rsidRPr="00CC7401">
        <w:t>późniejszymi</w:t>
      </w:r>
      <w:proofErr w:type="spellEnd"/>
      <w:r w:rsidRPr="00CC7401">
        <w:t xml:space="preserve"> zmianami). </w:t>
      </w:r>
    </w:p>
    <w:p w14:paraId="66B8BC56" w14:textId="77777777" w:rsidR="00533CEB" w:rsidRPr="00875B1C" w:rsidRDefault="00083E99" w:rsidP="00C327D1">
      <w:pPr>
        <w:pStyle w:val="Heading2"/>
        <w:rPr>
          <w:rFonts w:eastAsia="Arial"/>
          <w:b w:val="0"/>
          <w:bCs w:val="0"/>
        </w:rPr>
      </w:pPr>
      <w:r w:rsidRPr="00875B1C">
        <w:rPr>
          <w:rFonts w:eastAsia="Arial"/>
          <w:b w:val="0"/>
          <w:bCs w:val="0"/>
        </w:rPr>
        <w:t xml:space="preserve">Montaż mebli parkowych </w:t>
      </w:r>
    </w:p>
    <w:p w14:paraId="581E0D5A" w14:textId="77777777" w:rsidR="00083E99" w:rsidRPr="002D10FF" w:rsidRDefault="00083E99" w:rsidP="000E5385">
      <w:r w:rsidRPr="002D10FF">
        <w:t xml:space="preserve">Ławy fundamentowe pod ławki należy wykonywać równocześnie z wykonywaniem podbudowy pod nawierzchnie. Meble zamontować po ułożeniu nawierzchni. </w:t>
      </w:r>
    </w:p>
    <w:p w14:paraId="13F314EF" w14:textId="77777777" w:rsidR="00083E99" w:rsidRPr="002D10FF" w:rsidRDefault="00083E99" w:rsidP="00C327D1">
      <w:pPr>
        <w:pStyle w:val="Heading2"/>
      </w:pPr>
      <w:r w:rsidRPr="002D10FF">
        <w:t>Plac zabaw</w:t>
      </w:r>
    </w:p>
    <w:p w14:paraId="66A7A2C9" w14:textId="77777777" w:rsidR="00C327D1" w:rsidRDefault="00083E99" w:rsidP="000E5385">
      <w:r w:rsidRPr="002D10FF">
        <w:t xml:space="preserve">Ławy fundamentowe pod urządzenia placu zabaw należy wykonywać równocześnie z wykonywaniem podbudowy pod nawierzchnie. </w:t>
      </w:r>
    </w:p>
    <w:p w14:paraId="76547DA0" w14:textId="7B757870" w:rsidR="009E4D43" w:rsidRPr="002D10FF" w:rsidRDefault="00083E99" w:rsidP="000E5385">
      <w:r w:rsidRPr="002D10FF">
        <w:t xml:space="preserve">Urządzenia </w:t>
      </w:r>
      <w:r w:rsidR="003461F8" w:rsidRPr="002D10FF">
        <w:t xml:space="preserve">zamontować po wylaniu nawierzchni. </w:t>
      </w:r>
      <w:r w:rsidR="009E4D43" w:rsidRPr="002D10FF">
        <w:t xml:space="preserve">wszystkie </w:t>
      </w:r>
      <w:r w:rsidR="00C327D1" w:rsidRPr="002D10FF">
        <w:t>urządzenia</w:t>
      </w:r>
      <w:r w:rsidR="009E4D43" w:rsidRPr="002D10FF">
        <w:t xml:space="preserve"> i elementy </w:t>
      </w:r>
      <w:r w:rsidR="00C327D1" w:rsidRPr="002D10FF">
        <w:t>wyposażenia</w:t>
      </w:r>
      <w:r w:rsidR="009E4D43" w:rsidRPr="002D10FF">
        <w:t xml:space="preserve"> placu zabaw </w:t>
      </w:r>
      <w:r w:rsidR="00C327D1" w:rsidRPr="002D10FF">
        <w:t>należy</w:t>
      </w:r>
      <w:r w:rsidR="009E4D43" w:rsidRPr="002D10FF">
        <w:t xml:space="preserve"> </w:t>
      </w:r>
      <w:r w:rsidR="00C327D1" w:rsidRPr="002D10FF">
        <w:t>instalować</w:t>
      </w:r>
      <w:r w:rsidR="009E4D43" w:rsidRPr="002D10FF">
        <w:t xml:space="preserve">́ zgodnie z PN-EN 1176-1:2009, PN-EN 1176-7:2009. </w:t>
      </w:r>
      <w:r w:rsidR="00C327D1">
        <w:t>Wy</w:t>
      </w:r>
      <w:r w:rsidR="009E4D43" w:rsidRPr="002D10FF">
        <w:t xml:space="preserve">konanie </w:t>
      </w:r>
      <w:r w:rsidR="00C327D1" w:rsidRPr="002D10FF">
        <w:t>montażu</w:t>
      </w:r>
      <w:r w:rsidR="009E4D43" w:rsidRPr="002D10FF">
        <w:t xml:space="preserve"> </w:t>
      </w:r>
      <w:r w:rsidR="00C327D1" w:rsidRPr="002D10FF">
        <w:t>urządzeń</w:t>
      </w:r>
      <w:r w:rsidR="009E4D43" w:rsidRPr="002D10FF">
        <w:t xml:space="preserve">́ </w:t>
      </w:r>
      <w:r w:rsidR="00C327D1" w:rsidRPr="002D10FF">
        <w:t>mogą</w:t>
      </w:r>
      <w:r w:rsidR="009E4D43" w:rsidRPr="002D10FF">
        <w:t xml:space="preserve">̨ </w:t>
      </w:r>
      <w:r w:rsidR="00C327D1" w:rsidRPr="002D10FF">
        <w:t>dokonywać</w:t>
      </w:r>
      <w:r w:rsidR="009E4D43" w:rsidRPr="002D10FF">
        <w:t>́ osoby, firmy przes</w:t>
      </w:r>
      <w:r w:rsidR="00C327D1">
        <w:t>zkolone w tym celu przez produ</w:t>
      </w:r>
      <w:r w:rsidR="009E4D43" w:rsidRPr="002D10FF">
        <w:t xml:space="preserve">centów zabawek oraz w oparciu o instrukcje </w:t>
      </w:r>
      <w:r w:rsidR="00C327D1" w:rsidRPr="002D10FF">
        <w:t>montażu</w:t>
      </w:r>
      <w:r w:rsidR="009E4D43" w:rsidRPr="002D10FF">
        <w:t xml:space="preserve">, </w:t>
      </w:r>
      <w:r w:rsidR="00C327D1" w:rsidRPr="002D10FF">
        <w:t>zaleceń</w:t>
      </w:r>
      <w:r w:rsidR="00C327D1">
        <w:t>́, wskazówek i pod nadzorem do</w:t>
      </w:r>
      <w:r w:rsidR="009E4D43" w:rsidRPr="002D10FF">
        <w:t xml:space="preserve">stawcy oraz instytucji dozoru technicznego. </w:t>
      </w:r>
    </w:p>
    <w:p w14:paraId="06A7C56E" w14:textId="567CE74F" w:rsidR="0025752D" w:rsidRPr="002D10FF" w:rsidRDefault="00083E99" w:rsidP="000E5385">
      <w:pPr>
        <w:pStyle w:val="Heading2"/>
      </w:pPr>
      <w:r w:rsidRPr="002D10FF">
        <w:t>Ogrodzenie placu zabaw</w:t>
      </w:r>
    </w:p>
    <w:p w14:paraId="5D21003C" w14:textId="6270636C" w:rsidR="0025752D" w:rsidRPr="002D10FF" w:rsidRDefault="0025752D" w:rsidP="000E5385">
      <w:r w:rsidRPr="002D10FF">
        <w:t>Każdy element dostarczony na budowę podlega odbiorowi pod względem:</w:t>
      </w:r>
      <w:r w:rsidR="00C327D1">
        <w:t xml:space="preserve"> </w:t>
      </w:r>
      <w:r w:rsidRPr="002D10FF">
        <w:t>jakości materiałów, spoin, otworów na śruby, zgodności z projektem, jakości wykonania</w:t>
      </w:r>
      <w:r w:rsidR="00C327D1">
        <w:t>.</w:t>
      </w:r>
    </w:p>
    <w:p w14:paraId="47927ABE" w14:textId="65F5D72C" w:rsidR="003461F8" w:rsidRPr="002D10FF" w:rsidRDefault="0025752D" w:rsidP="000E5385">
      <w:r w:rsidRPr="002D10FF">
        <w:t xml:space="preserve">Montaż: </w:t>
      </w:r>
      <w:r w:rsidR="003461F8" w:rsidRPr="002D10FF">
        <w:t>Wykop pod ł</w:t>
      </w:r>
      <w:r w:rsidR="009851A5" w:rsidRPr="002D10FF">
        <w:t>awę fundamentową ogrodzeni</w:t>
      </w:r>
      <w:r w:rsidR="003461F8" w:rsidRPr="002D10FF">
        <w:t>a</w:t>
      </w:r>
      <w:r w:rsidR="009851A5" w:rsidRPr="002D10FF">
        <w:t xml:space="preserve"> placu zabaw </w:t>
      </w:r>
      <w:r w:rsidR="003461F8" w:rsidRPr="002D10FF">
        <w:t>wykonać po wykonaniu podbudowy pod nawierzchnię placu</w:t>
      </w:r>
      <w:r w:rsidR="00C327D1">
        <w:t xml:space="preserve"> zabaw</w:t>
      </w:r>
      <w:r w:rsidR="003461F8" w:rsidRPr="002D10FF">
        <w:t xml:space="preserve">. Ławę </w:t>
      </w:r>
      <w:proofErr w:type="spellStart"/>
      <w:r w:rsidR="003461F8" w:rsidRPr="002D10FF">
        <w:t>zazbroić</w:t>
      </w:r>
      <w:proofErr w:type="spellEnd"/>
      <w:r w:rsidR="003461F8" w:rsidRPr="002D10FF">
        <w:t xml:space="preserve"> 4 prętami o śr. 10. Na dnie ławy ułożyć bloczki betonowe co 1m, na bloczkach ułożyć i wypoziomować </w:t>
      </w:r>
      <w:r w:rsidR="00C327D1">
        <w:t xml:space="preserve">jednometrowej długości </w:t>
      </w:r>
      <w:r w:rsidR="003461F8" w:rsidRPr="002D10FF">
        <w:t xml:space="preserve">elementy ogrodzenia. Ławę fundamentową zalać betonem. Wierzchnią warstwę nawierzchni EPD układać na podbudowie i ławie fundamentowej ogrodzenia jednocześnie. Elementy drewniane przykręcać na koniec. </w:t>
      </w:r>
    </w:p>
    <w:p w14:paraId="798FCB83" w14:textId="77777777" w:rsidR="003461F8" w:rsidRPr="002D10FF" w:rsidRDefault="003461F8" w:rsidP="00C327D1">
      <w:pPr>
        <w:pStyle w:val="Heading2"/>
      </w:pPr>
      <w:proofErr w:type="spellStart"/>
      <w:r w:rsidRPr="002D10FF">
        <w:t>Witacze</w:t>
      </w:r>
      <w:proofErr w:type="spellEnd"/>
    </w:p>
    <w:p w14:paraId="181AE70A" w14:textId="77777777" w:rsidR="009E4D43" w:rsidRPr="002D10FF" w:rsidRDefault="003461F8" w:rsidP="000E5385">
      <w:r w:rsidRPr="002D10FF">
        <w:t xml:space="preserve"> Ławy fundamentowe pod </w:t>
      </w:r>
      <w:proofErr w:type="spellStart"/>
      <w:r w:rsidRPr="002D10FF">
        <w:t>witacze</w:t>
      </w:r>
      <w:proofErr w:type="spellEnd"/>
      <w:r w:rsidRPr="002D10FF">
        <w:t xml:space="preserve"> należy wykonywać równocześnie z wykonywaniem podbudowy pod nawierzchnie. </w:t>
      </w:r>
      <w:r w:rsidR="0035124E" w:rsidRPr="002D10FF">
        <w:t>Z</w:t>
      </w:r>
      <w:r w:rsidRPr="002D10FF">
        <w:t xml:space="preserve">amontować </w:t>
      </w:r>
      <w:proofErr w:type="spellStart"/>
      <w:r w:rsidR="0035124E" w:rsidRPr="002D10FF">
        <w:t>witacze</w:t>
      </w:r>
      <w:proofErr w:type="spellEnd"/>
      <w:r w:rsidR="0035124E" w:rsidRPr="002D10FF">
        <w:t xml:space="preserve">, później </w:t>
      </w:r>
      <w:r w:rsidRPr="002D10FF">
        <w:t>ułoż</w:t>
      </w:r>
      <w:r w:rsidR="0035124E" w:rsidRPr="002D10FF">
        <w:t>yć</w:t>
      </w:r>
      <w:r w:rsidRPr="002D10FF">
        <w:t xml:space="preserve"> nawierzchni</w:t>
      </w:r>
      <w:r w:rsidR="0035124E" w:rsidRPr="002D10FF">
        <w:t>ę</w:t>
      </w:r>
      <w:r w:rsidRPr="002D10FF">
        <w:t xml:space="preserve">. </w:t>
      </w:r>
    </w:p>
    <w:p w14:paraId="2D5EEAE1" w14:textId="4FCB1263" w:rsidR="009E4D43" w:rsidRDefault="00C327D1" w:rsidP="002B50AF">
      <w:pPr>
        <w:pStyle w:val="Heading2"/>
      </w:pPr>
      <w:r>
        <w:t xml:space="preserve">Murek: </w:t>
      </w:r>
    </w:p>
    <w:p w14:paraId="5C65385B" w14:textId="3F5A2696" w:rsidR="002B50AF" w:rsidRDefault="002B50AF" w:rsidP="002B50AF">
      <w:pPr>
        <w:jc w:val="left"/>
      </w:pPr>
      <w:r>
        <w:t>Kolejność wykonywania robót:</w:t>
      </w:r>
    </w:p>
    <w:p w14:paraId="54CA8B94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>ściągnięcie istniejącego okapu z płyt betonowych</w:t>
      </w:r>
    </w:p>
    <w:p w14:paraId="79598D32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>ciśnieniowe oczyszczenie muru</w:t>
      </w:r>
    </w:p>
    <w:p w14:paraId="7B8AAE99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>uzupełnienie ubytków kostką granitową o takich wymiarach, fakturze i kolorze jak istniejąca</w:t>
      </w:r>
    </w:p>
    <w:p w14:paraId="1259121B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>uzupełnienie ubytków w fugach, zaprawę należy dobrać na budowie, aby była jak najbardziej zbliżona do istniejącej</w:t>
      </w:r>
    </w:p>
    <w:p w14:paraId="7E184649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>wyrównanie i wypoziomowanie górnej powierzchni muru zaprawą (w miejscach siedzisk zaprawą z dodatkiem żywicy epoksydowej)</w:t>
      </w:r>
    </w:p>
    <w:p w14:paraId="044D4C5E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 xml:space="preserve">wymiana zniszczonego okapu na płyty z betonu architektonicznego 40x100x6: 60szt. </w:t>
      </w:r>
    </w:p>
    <w:p w14:paraId="247770B7" w14:textId="77777777" w:rsidR="003D7339" w:rsidRDefault="003D7339" w:rsidP="003D7339">
      <w:pPr>
        <w:pStyle w:val="ListParagraph"/>
        <w:numPr>
          <w:ilvl w:val="0"/>
          <w:numId w:val="33"/>
        </w:numPr>
        <w:jc w:val="left"/>
      </w:pPr>
      <w:r>
        <w:t xml:space="preserve">montaż drewnianych siedzisk </w:t>
      </w:r>
    </w:p>
    <w:p w14:paraId="5FF14C78" w14:textId="10262E90" w:rsidR="00533CEB" w:rsidRPr="002D10FF" w:rsidRDefault="00533CEB" w:rsidP="00C327D1">
      <w:pPr>
        <w:pStyle w:val="Heading1"/>
        <w:rPr>
          <w:rFonts w:eastAsiaTheme="minorEastAsia"/>
        </w:rPr>
      </w:pPr>
      <w:r w:rsidRPr="002D10FF">
        <w:t>Kontrola jakości</w:t>
      </w:r>
    </w:p>
    <w:p w14:paraId="40045E6E" w14:textId="77777777" w:rsidR="00C327D1" w:rsidRDefault="00533CEB" w:rsidP="00C327D1">
      <w:pPr>
        <w:pStyle w:val="Heading2"/>
      </w:pPr>
      <w:r w:rsidRPr="002D10FF">
        <w:t xml:space="preserve">Ogólne zasady kontroli jakości robót. </w:t>
      </w:r>
    </w:p>
    <w:p w14:paraId="7E54D922" w14:textId="6E9B7543" w:rsidR="009E4D43" w:rsidRDefault="00533CEB" w:rsidP="000E5385">
      <w:r w:rsidRPr="002D10FF">
        <w:t>Ogólne zasady kontroli jakości robót podano cz. Wymagania Ogólne.</w:t>
      </w:r>
    </w:p>
    <w:p w14:paraId="67144E09" w14:textId="408FEDAB" w:rsidR="006256ED" w:rsidRPr="006256ED" w:rsidRDefault="006256ED" w:rsidP="006256ED">
      <w:r w:rsidRPr="006256ED">
        <w:t xml:space="preserve">Sprawdzenie i kontrola w czasie wykonywania robót oraz po ich zakończeniu powinny obejmować́ w szczególności: </w:t>
      </w:r>
    </w:p>
    <w:p w14:paraId="11029F11" w14:textId="3155C3E2" w:rsidR="006256ED" w:rsidRPr="006256ED" w:rsidRDefault="006256ED" w:rsidP="006256ED">
      <w:pPr>
        <w:pStyle w:val="ListParagraph"/>
        <w:numPr>
          <w:ilvl w:val="0"/>
          <w:numId w:val="37"/>
        </w:numPr>
      </w:pPr>
      <w:r w:rsidRPr="006256ED">
        <w:t xml:space="preserve">Sprawdzenie </w:t>
      </w:r>
      <w:r>
        <w:t>zgodności</w:t>
      </w:r>
      <w:r w:rsidRPr="006256ED">
        <w:t xml:space="preserve"> wykonania robót z dokumentacją,  </w:t>
      </w:r>
    </w:p>
    <w:p w14:paraId="2C9D02F4" w14:textId="42F23002" w:rsidR="006256ED" w:rsidRPr="006256ED" w:rsidRDefault="006256ED" w:rsidP="006256ED">
      <w:pPr>
        <w:pStyle w:val="ListParagraph"/>
        <w:numPr>
          <w:ilvl w:val="0"/>
          <w:numId w:val="37"/>
        </w:numPr>
      </w:pPr>
      <w:r w:rsidRPr="006256ED">
        <w:t xml:space="preserve">Kontrolę </w:t>
      </w:r>
      <w:r>
        <w:t>prawidłowości</w:t>
      </w:r>
      <w:r w:rsidRPr="006256ED">
        <w:t xml:space="preserve"> wytyczenie robót w terenie,  </w:t>
      </w:r>
    </w:p>
    <w:p w14:paraId="1E8711D3" w14:textId="77777777" w:rsidR="006256ED" w:rsidRPr="006256ED" w:rsidRDefault="006256ED" w:rsidP="006256ED">
      <w:pPr>
        <w:pStyle w:val="ListParagraph"/>
        <w:numPr>
          <w:ilvl w:val="0"/>
          <w:numId w:val="37"/>
        </w:numPr>
      </w:pPr>
      <w:r w:rsidRPr="006256ED">
        <w:t>Sprawdzenie przygotowania terenu,  </w:t>
      </w:r>
    </w:p>
    <w:p w14:paraId="3EC3948F" w14:textId="77777777" w:rsidR="006256ED" w:rsidRPr="006256ED" w:rsidRDefault="006256ED" w:rsidP="006256ED">
      <w:pPr>
        <w:pStyle w:val="ListParagraph"/>
        <w:numPr>
          <w:ilvl w:val="0"/>
          <w:numId w:val="37"/>
        </w:numPr>
      </w:pPr>
      <w:r w:rsidRPr="006256ED">
        <w:t>Sprawdzenie wymiarów wykonanych robót,  </w:t>
      </w:r>
    </w:p>
    <w:p w14:paraId="23780784" w14:textId="3445526B" w:rsidR="006256ED" w:rsidRPr="006256ED" w:rsidRDefault="006256ED" w:rsidP="006256ED">
      <w:pPr>
        <w:pStyle w:val="ListParagraph"/>
        <w:numPr>
          <w:ilvl w:val="0"/>
          <w:numId w:val="37"/>
        </w:numPr>
      </w:pPr>
      <w:r w:rsidRPr="006256ED">
        <w:t>Sprawdzenie posiadania przez instalowane wyroby certyfikatów umo</w:t>
      </w:r>
      <w:r>
        <w:t>ż</w:t>
      </w:r>
      <w:r w:rsidRPr="006256ED">
        <w:t>liwiających ich  stosowanie na placach zabaw dla dzieci,  </w:t>
      </w:r>
    </w:p>
    <w:p w14:paraId="39DDDA33" w14:textId="5CEE828D" w:rsidR="00533CEB" w:rsidRPr="002D10FF" w:rsidRDefault="00533CEB" w:rsidP="00C327D1">
      <w:pPr>
        <w:pStyle w:val="Heading1"/>
      </w:pPr>
      <w:r w:rsidRPr="002D10FF">
        <w:t>Obmiar robót</w:t>
      </w:r>
    </w:p>
    <w:p w14:paraId="0F08A73A" w14:textId="77777777" w:rsidR="00533CEB" w:rsidRPr="002D10FF" w:rsidRDefault="00533CEB" w:rsidP="000E5385">
      <w:r w:rsidRPr="002D10FF">
        <w:t>Jednostkami obmiaru są:</w:t>
      </w:r>
    </w:p>
    <w:p w14:paraId="5A042799" w14:textId="77777777" w:rsidR="00533CEB" w:rsidRPr="002D10FF" w:rsidRDefault="00533CEB" w:rsidP="000E5385">
      <w:r w:rsidRPr="002D10FF">
        <w:t>Ogrodzenia – za 1mb/m2 wykonanego i zmontowanego ogrodzenia.</w:t>
      </w:r>
    </w:p>
    <w:p w14:paraId="6C6FF604" w14:textId="77777777" w:rsidR="00533CEB" w:rsidRPr="002D10FF" w:rsidRDefault="00533CEB" w:rsidP="000E5385">
      <w:r w:rsidRPr="002D10FF">
        <w:t>Mała architektura:</w:t>
      </w:r>
    </w:p>
    <w:p w14:paraId="1E3DE4B3" w14:textId="11386227" w:rsidR="00533CEB" w:rsidRPr="002D10FF" w:rsidRDefault="00533CEB" w:rsidP="000E5385">
      <w:r w:rsidRPr="002D10FF">
        <w:t xml:space="preserve">Ławki </w:t>
      </w:r>
      <w:r w:rsidR="0012104B">
        <w:t>i ławy</w:t>
      </w:r>
      <w:r w:rsidRPr="002D10FF">
        <w:t>– za 1szt. wykonanych i zamontowanych ławek.</w:t>
      </w:r>
    </w:p>
    <w:p w14:paraId="477B7A92" w14:textId="77777777" w:rsidR="00533CEB" w:rsidRPr="002D10FF" w:rsidRDefault="00533CEB" w:rsidP="000E5385">
      <w:r w:rsidRPr="002D10FF">
        <w:t>Kosze na śmieci – za 1szt.</w:t>
      </w:r>
    </w:p>
    <w:p w14:paraId="671A212E" w14:textId="749EC28F" w:rsidR="00533CEB" w:rsidRDefault="00533CEB" w:rsidP="000E5385">
      <w:r w:rsidRPr="002D10FF">
        <w:t>Elementy placu zabaw – za 1 szt</w:t>
      </w:r>
      <w:r w:rsidR="0012104B">
        <w:t>.</w:t>
      </w:r>
    </w:p>
    <w:p w14:paraId="3B1A2233" w14:textId="20418E75" w:rsidR="0012104B" w:rsidRDefault="0012104B" w:rsidP="000E5385">
      <w:proofErr w:type="spellStart"/>
      <w:r>
        <w:t>Witacze</w:t>
      </w:r>
      <w:proofErr w:type="spellEnd"/>
      <w:r>
        <w:t xml:space="preserve"> – za 1 szt. </w:t>
      </w:r>
    </w:p>
    <w:p w14:paraId="3E16F16B" w14:textId="40C29F71" w:rsidR="0012104B" w:rsidRPr="002D10FF" w:rsidRDefault="0012104B" w:rsidP="000E5385">
      <w:r>
        <w:t xml:space="preserve">Remont muru – za 1mb </w:t>
      </w:r>
    </w:p>
    <w:p w14:paraId="7077E25C" w14:textId="056B9722" w:rsidR="00533CEB" w:rsidRPr="002D10FF" w:rsidRDefault="00533CEB" w:rsidP="0012104B">
      <w:pPr>
        <w:pStyle w:val="Heading1"/>
      </w:pPr>
      <w:r w:rsidRPr="002D10FF">
        <w:t>Odbiór robót</w:t>
      </w:r>
    </w:p>
    <w:p w14:paraId="5AFB2AF1" w14:textId="0B91A81B" w:rsidR="00533CEB" w:rsidRPr="002D10FF" w:rsidRDefault="00533CEB" w:rsidP="0012104B">
      <w:pPr>
        <w:pStyle w:val="Heading2"/>
      </w:pPr>
      <w:r w:rsidRPr="002D10FF">
        <w:t>Ogólne zasady odbioru robót</w:t>
      </w:r>
    </w:p>
    <w:p w14:paraId="70AB5662" w14:textId="6DEAC27D" w:rsidR="00533CEB" w:rsidRPr="002D10FF" w:rsidRDefault="00533CEB" w:rsidP="000E5385">
      <w:r w:rsidRPr="002D10FF">
        <w:t>Roboty uznaje się za wykonane zgodnie z dokumentacją projektową, SST i wymaganiami Inspektora Nadzoru, jeżeli wszystkie pomiary i badania dały wyniki pozytywne.</w:t>
      </w:r>
    </w:p>
    <w:p w14:paraId="781DF0F3" w14:textId="62341577" w:rsidR="00533CEB" w:rsidRPr="002D10FF" w:rsidRDefault="00533CEB" w:rsidP="0012104B">
      <w:pPr>
        <w:pStyle w:val="Heading2"/>
      </w:pPr>
      <w:r w:rsidRPr="002D10FF">
        <w:t>Odbiór robót zanikających i ulegających zakryciu</w:t>
      </w:r>
    </w:p>
    <w:p w14:paraId="2FB18427" w14:textId="77777777" w:rsidR="00533CEB" w:rsidRPr="002D10FF" w:rsidRDefault="00533CEB" w:rsidP="000E5385">
      <w:r w:rsidRPr="002D10FF">
        <w:t>Odbiorowi robót zanikających i ulegających zakryciu podlegają:</w:t>
      </w:r>
    </w:p>
    <w:p w14:paraId="482798F8" w14:textId="77777777" w:rsidR="00533CEB" w:rsidRPr="002D10FF" w:rsidRDefault="00533CEB" w:rsidP="000E5385">
      <w:r w:rsidRPr="002D10FF">
        <w:rPr>
          <w:rFonts w:eastAsia="Symbol"/>
        </w:rPr>
        <w:t></w:t>
      </w:r>
      <w:r w:rsidRPr="002D10FF">
        <w:rPr>
          <w:rFonts w:eastAsia="Symbol"/>
        </w:rPr>
        <w:t></w:t>
      </w:r>
      <w:r w:rsidRPr="002D10FF">
        <w:t>roboty przygotowawcze</w:t>
      </w:r>
    </w:p>
    <w:p w14:paraId="322442E7" w14:textId="77777777" w:rsidR="00533CEB" w:rsidRPr="002D10FF" w:rsidRDefault="00533CEB" w:rsidP="000E5385">
      <w:r w:rsidRPr="002D10FF">
        <w:rPr>
          <w:rFonts w:eastAsia="Symbol"/>
        </w:rPr>
        <w:t></w:t>
      </w:r>
      <w:r w:rsidRPr="002D10FF">
        <w:rPr>
          <w:rFonts w:eastAsia="Symbol"/>
        </w:rPr>
        <w:t></w:t>
      </w:r>
      <w:r w:rsidRPr="002D10FF">
        <w:t>wykonanie i montaż słupków ogrodzeniowych</w:t>
      </w:r>
    </w:p>
    <w:p w14:paraId="34276578" w14:textId="77777777" w:rsidR="00533CEB" w:rsidRPr="002D10FF" w:rsidRDefault="00533CEB" w:rsidP="000E5385">
      <w:r w:rsidRPr="002D10FF">
        <w:rPr>
          <w:rFonts w:eastAsia="Symbol"/>
        </w:rPr>
        <w:t></w:t>
      </w:r>
      <w:r w:rsidRPr="002D10FF">
        <w:rPr>
          <w:rFonts w:eastAsia="Symbol"/>
        </w:rPr>
        <w:t></w:t>
      </w:r>
      <w:r w:rsidRPr="002D10FF">
        <w:t>wykonanie zabezpieczeń antykorozyjnych</w:t>
      </w:r>
    </w:p>
    <w:p w14:paraId="666C865B" w14:textId="77777777" w:rsidR="00533CEB" w:rsidRPr="002D10FF" w:rsidRDefault="00533CEB" w:rsidP="000E5385">
      <w:r w:rsidRPr="002D10FF">
        <w:rPr>
          <w:rFonts w:eastAsia="Symbol"/>
        </w:rPr>
        <w:t></w:t>
      </w:r>
      <w:r w:rsidRPr="002D10FF">
        <w:rPr>
          <w:rFonts w:eastAsia="Symbol"/>
        </w:rPr>
        <w:t></w:t>
      </w:r>
      <w:r w:rsidRPr="002D10FF">
        <w:t>montaż segmentów ogrodzenia, bram i furtek</w:t>
      </w:r>
    </w:p>
    <w:p w14:paraId="6C6B421F" w14:textId="77777777" w:rsidR="00533CEB" w:rsidRPr="002D10FF" w:rsidRDefault="00533CEB" w:rsidP="000E5385">
      <w:r w:rsidRPr="002D10FF">
        <w:rPr>
          <w:rFonts w:eastAsia="Symbol"/>
        </w:rPr>
        <w:t></w:t>
      </w:r>
      <w:r w:rsidRPr="002D10FF">
        <w:rPr>
          <w:rFonts w:eastAsia="Symbol"/>
        </w:rPr>
        <w:t></w:t>
      </w:r>
      <w:r w:rsidRPr="002D10FF">
        <w:t>montaż elementów małej architektury - ławki, elementy placu zabaw</w:t>
      </w:r>
    </w:p>
    <w:p w14:paraId="69D4A322" w14:textId="77777777" w:rsidR="00533CEB" w:rsidRPr="002D10FF" w:rsidRDefault="00533CEB" w:rsidP="000E5385">
      <w:r w:rsidRPr="002D10FF">
        <w:t>Roboty podlegają zasadom odbioru robót zanikających, oraz odbiorowi końcowemu.</w:t>
      </w:r>
    </w:p>
    <w:p w14:paraId="1D834391" w14:textId="03287157" w:rsidR="00533CEB" w:rsidRPr="002D10FF" w:rsidRDefault="00533CEB" w:rsidP="0012104B">
      <w:pPr>
        <w:pStyle w:val="Heading1"/>
      </w:pPr>
      <w:r w:rsidRPr="002D10FF">
        <w:t>Podstawa płatności</w:t>
      </w:r>
    </w:p>
    <w:p w14:paraId="4FC3E0F3" w14:textId="77777777" w:rsidR="00533CEB" w:rsidRPr="002D10FF" w:rsidRDefault="00533CEB" w:rsidP="000E5385">
      <w:r w:rsidRPr="002D10FF">
        <w:t>Płaci się za roboty wykonane w jednostkach podanych w p. 7.</w:t>
      </w:r>
    </w:p>
    <w:p w14:paraId="2899AADD" w14:textId="77777777" w:rsidR="00533CEB" w:rsidRPr="002D10FF" w:rsidRDefault="00533CEB" w:rsidP="000E5385">
      <w:r w:rsidRPr="002D10FF">
        <w:t xml:space="preserve">Cena jednostkowa obejmuje wszystkie roboty związane z wykonaniem ogrodzeń i elementów małej architektury </w:t>
      </w:r>
    </w:p>
    <w:p w14:paraId="2A3C98EF" w14:textId="4190DACA" w:rsidR="00533CEB" w:rsidRPr="002D10FF" w:rsidRDefault="00533CEB" w:rsidP="0012104B">
      <w:pPr>
        <w:pStyle w:val="Heading1"/>
      </w:pPr>
      <w:r w:rsidRPr="002D10FF">
        <w:t>Przepisy związane</w:t>
      </w:r>
    </w:p>
    <w:p w14:paraId="71C3C896" w14:textId="77777777" w:rsidR="00533CEB" w:rsidRPr="002D10FF" w:rsidRDefault="00533CEB" w:rsidP="000E5385">
      <w:r w:rsidRPr="002D10FF">
        <w:t>PN-EN 206-1:2003 Beton.</w:t>
      </w:r>
    </w:p>
    <w:p w14:paraId="7EF3126E" w14:textId="77777777" w:rsidR="00533CEB" w:rsidRPr="002D10FF" w:rsidRDefault="00533CEB" w:rsidP="000E5385">
      <w:r w:rsidRPr="002D10FF">
        <w:t>PN-EN 196-1:1996 Cement. Metody badań. Oznaczenie wytrzymałości.</w:t>
      </w:r>
    </w:p>
    <w:p w14:paraId="4E17148D" w14:textId="77777777" w:rsidR="00533CEB" w:rsidRPr="002D10FF" w:rsidRDefault="00533CEB" w:rsidP="000E5385">
      <w:r w:rsidRPr="002D10FF">
        <w:t>PN-EN 196-3:1996 Cement. Metody badań. Oznaczenia czasów wiązania i stałości objętości.</w:t>
      </w:r>
    </w:p>
    <w:p w14:paraId="667C322C" w14:textId="77777777" w:rsidR="00533CEB" w:rsidRPr="002D10FF" w:rsidRDefault="00533CEB" w:rsidP="000E5385">
      <w:r w:rsidRPr="002D10FF">
        <w:t>PN-EN 196-6:1997 Cement. Metody badań. Oznaczenie stopnia zmielenia.</w:t>
      </w:r>
    </w:p>
    <w:p w14:paraId="459DB0BA" w14:textId="77777777" w:rsidR="00533CEB" w:rsidRPr="002D10FF" w:rsidRDefault="00533CEB" w:rsidP="000E5385">
      <w:r w:rsidRPr="002D10FF">
        <w:t>PN-90/B-30000 Cement portlandzki.</w:t>
      </w:r>
    </w:p>
    <w:p w14:paraId="4D91BB3E" w14:textId="77777777" w:rsidR="00533CEB" w:rsidRPr="002D10FF" w:rsidRDefault="00533CEB" w:rsidP="000E5385">
      <w:r w:rsidRPr="002D10FF">
        <w:t>PN-88/B-32250 Woda do betonu i zapraw.</w:t>
      </w:r>
    </w:p>
    <w:p w14:paraId="6AC91409" w14:textId="77777777" w:rsidR="00533CEB" w:rsidRPr="002D10FF" w:rsidRDefault="00533CEB" w:rsidP="000E5385">
      <w:r w:rsidRPr="002D10FF">
        <w:t>PN-B-06050:1999 Roboty ziemne budowlane. Wymagania w zakresie wykonywania i badania przy odbiorze.</w:t>
      </w:r>
    </w:p>
    <w:p w14:paraId="3F12874B" w14:textId="77777777" w:rsidR="00533CEB" w:rsidRPr="002D10FF" w:rsidRDefault="00533CEB" w:rsidP="000E5385">
      <w:r w:rsidRPr="002D10FF">
        <w:t>PN-86/B-02480 Grunty budowlane. Określenia. Symbole. Podział i opis gruntów.</w:t>
      </w:r>
    </w:p>
    <w:p w14:paraId="44DD22FC" w14:textId="77777777" w:rsidR="00533CEB" w:rsidRPr="002D10FF" w:rsidRDefault="00533CEB" w:rsidP="000E5385">
      <w:r w:rsidRPr="002D10FF">
        <w:t>BN-77/8931-12 Oznaczanie wskaźnika zagęszczenia gruntów.</w:t>
      </w:r>
    </w:p>
    <w:p w14:paraId="7293F61C" w14:textId="77777777" w:rsidR="00533CEB" w:rsidRPr="002D10FF" w:rsidRDefault="00533CEB" w:rsidP="000E5385">
      <w:r w:rsidRPr="002D10FF">
        <w:t>PN-85/B-04500 Zaprawy budowlane. Badania cech fizycznych i wytrzymałościowych.</w:t>
      </w:r>
    </w:p>
    <w:p w14:paraId="315584D6" w14:textId="77777777" w:rsidR="00533CEB" w:rsidRPr="002D10FF" w:rsidRDefault="00533CEB" w:rsidP="000E5385">
      <w:r w:rsidRPr="002D10FF">
        <w:t>PN-EN 1008:2004 Woda zarobowa do betonu. Specyfikacja pobierania próbek.</w:t>
      </w:r>
    </w:p>
    <w:p w14:paraId="38D5D88A" w14:textId="77777777" w:rsidR="00533CEB" w:rsidRPr="002D10FF" w:rsidRDefault="00533CEB" w:rsidP="000E5385">
      <w:r w:rsidRPr="002D10FF">
        <w:t>PN-EN 13139:2003 Kruszywa do zaprawy.</w:t>
      </w:r>
    </w:p>
    <w:p w14:paraId="7EE0F4F4" w14:textId="77777777" w:rsidR="00533CEB" w:rsidRPr="002D10FF" w:rsidRDefault="00533CEB" w:rsidP="000E5385">
      <w:r w:rsidRPr="002D10FF">
        <w:t>PN-C-81911:1997 Farby epoksydowe do gruntowania odporne na czynniki chemiczne.</w:t>
      </w:r>
    </w:p>
    <w:p w14:paraId="17223825" w14:textId="77777777" w:rsidR="00533CEB" w:rsidRPr="002D10FF" w:rsidRDefault="00533CEB" w:rsidP="000E5385">
      <w:r w:rsidRPr="002D10FF">
        <w:t>PN-B-06200:2002 Konstrukcje stalowe budowlane. Warunki wykonania i odbioru.</w:t>
      </w:r>
    </w:p>
    <w:p w14:paraId="59F89587" w14:textId="77777777" w:rsidR="00533CEB" w:rsidRPr="002D10FF" w:rsidRDefault="00533CEB" w:rsidP="000E5385">
      <w:r w:rsidRPr="002D10FF">
        <w:t>PN-91/M-69430 Elektrody stalowe otulone do spawania i napawania. Ogólne badania i wymagania.</w:t>
      </w:r>
    </w:p>
    <w:p w14:paraId="308D36A2" w14:textId="77777777" w:rsidR="00533CEB" w:rsidRPr="002D10FF" w:rsidRDefault="00533CEB" w:rsidP="000E5385">
      <w:r w:rsidRPr="002D10FF">
        <w:t>PN-75/M-69703 Spawalnictwo. Wady złączy spawanych. Nazwy i określenia.</w:t>
      </w:r>
    </w:p>
    <w:p w14:paraId="3475AF7B" w14:textId="77777777" w:rsidR="00533CEB" w:rsidRPr="002D10FF" w:rsidRDefault="00533CEB" w:rsidP="000E5385">
      <w:r w:rsidRPr="002D10FF">
        <w:t>PN-80/M-02138 Tolerancje kształtu i położenia. Wartości.</w:t>
      </w:r>
    </w:p>
    <w:sectPr w:rsidR="00533CEB" w:rsidRPr="002D10FF" w:rsidSect="0041006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886296"/>
    <w:multiLevelType w:val="hybridMultilevel"/>
    <w:tmpl w:val="E6282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63430"/>
    <w:multiLevelType w:val="hybridMultilevel"/>
    <w:tmpl w:val="C6BE1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522CC"/>
    <w:multiLevelType w:val="multilevel"/>
    <w:tmpl w:val="67186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A7408"/>
    <w:multiLevelType w:val="hybridMultilevel"/>
    <w:tmpl w:val="643CD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A24AA"/>
    <w:multiLevelType w:val="multilevel"/>
    <w:tmpl w:val="692AF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54B0560"/>
    <w:multiLevelType w:val="multilevel"/>
    <w:tmpl w:val="C6C4E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69A3336"/>
    <w:multiLevelType w:val="hybridMultilevel"/>
    <w:tmpl w:val="CD46B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05EDE"/>
    <w:multiLevelType w:val="hybridMultilevel"/>
    <w:tmpl w:val="76B0A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200C0"/>
    <w:multiLevelType w:val="hybridMultilevel"/>
    <w:tmpl w:val="FAAA1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A44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9BC42A4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>
    <w:nsid w:val="627623A5"/>
    <w:multiLevelType w:val="hybridMultilevel"/>
    <w:tmpl w:val="36525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23A89"/>
    <w:multiLevelType w:val="hybridMultilevel"/>
    <w:tmpl w:val="B008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3C4822"/>
    <w:multiLevelType w:val="hybridMultilevel"/>
    <w:tmpl w:val="F5D45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9A0545"/>
    <w:multiLevelType w:val="hybridMultilevel"/>
    <w:tmpl w:val="CE52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9"/>
  </w:num>
  <w:num w:numId="14">
    <w:abstractNumId w:val="3"/>
  </w:num>
  <w:num w:numId="15">
    <w:abstractNumId w:val="3"/>
  </w:num>
  <w:num w:numId="16">
    <w:abstractNumId w:val="13"/>
  </w:num>
  <w:num w:numId="17">
    <w:abstractNumId w:val="10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5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4"/>
  </w:num>
  <w:num w:numId="34">
    <w:abstractNumId w:val="11"/>
  </w:num>
  <w:num w:numId="35">
    <w:abstractNumId w:val="11"/>
  </w:num>
  <w:num w:numId="36">
    <w:abstractNumId w:val="8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EF"/>
    <w:rsid w:val="00022461"/>
    <w:rsid w:val="00031A4C"/>
    <w:rsid w:val="00083E99"/>
    <w:rsid w:val="000E5385"/>
    <w:rsid w:val="0012104B"/>
    <w:rsid w:val="001850C9"/>
    <w:rsid w:val="001F5AE8"/>
    <w:rsid w:val="00221766"/>
    <w:rsid w:val="0025752D"/>
    <w:rsid w:val="002B50AF"/>
    <w:rsid w:val="002D10FF"/>
    <w:rsid w:val="00306428"/>
    <w:rsid w:val="00321036"/>
    <w:rsid w:val="003461F8"/>
    <w:rsid w:val="0035124E"/>
    <w:rsid w:val="003D7339"/>
    <w:rsid w:val="00410066"/>
    <w:rsid w:val="00533CEB"/>
    <w:rsid w:val="006256ED"/>
    <w:rsid w:val="0065248E"/>
    <w:rsid w:val="00653AEF"/>
    <w:rsid w:val="00847E96"/>
    <w:rsid w:val="00875B1C"/>
    <w:rsid w:val="008E069C"/>
    <w:rsid w:val="009851A5"/>
    <w:rsid w:val="009E4D43"/>
    <w:rsid w:val="00A6526A"/>
    <w:rsid w:val="00B55F49"/>
    <w:rsid w:val="00C02339"/>
    <w:rsid w:val="00C327D1"/>
    <w:rsid w:val="00C607DB"/>
    <w:rsid w:val="00CC7401"/>
    <w:rsid w:val="00D826C4"/>
    <w:rsid w:val="00DF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75A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85"/>
    <w:pPr>
      <w:spacing w:line="360" w:lineRule="auto"/>
      <w:jc w:val="both"/>
    </w:pPr>
    <w:rPr>
      <w:rFonts w:ascii="Arial" w:eastAsia="Arial" w:hAnsi="Arial" w:cs="Arial"/>
      <w:sz w:val="20"/>
      <w:szCs w:val="20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6C4"/>
    <w:pPr>
      <w:keepNext/>
      <w:keepLines/>
      <w:numPr>
        <w:numId w:val="18"/>
      </w:numPr>
      <w:spacing w:before="120"/>
      <w:outlineLvl w:val="0"/>
    </w:pPr>
    <w:rPr>
      <w:rFonts w:eastAsiaTheme="majorEastAsia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A4C"/>
    <w:pPr>
      <w:keepNext/>
      <w:keepLines/>
      <w:numPr>
        <w:ilvl w:val="1"/>
        <w:numId w:val="18"/>
      </w:numPr>
      <w:spacing w:before="120"/>
      <w:outlineLvl w:val="1"/>
    </w:pPr>
    <w:rPr>
      <w:rFonts w:eastAsiaTheme="majorEastAsia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248E"/>
    <w:pPr>
      <w:keepNext/>
      <w:keepLines/>
      <w:numPr>
        <w:ilvl w:val="2"/>
        <w:numId w:val="18"/>
      </w:numPr>
      <w:spacing w:before="60"/>
      <w:outlineLvl w:val="2"/>
    </w:pPr>
    <w:rPr>
      <w:rFonts w:eastAsiaTheme="majorEastAsia"/>
      <w:bCs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48E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4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4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4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4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4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AEF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EF"/>
    <w:rPr>
      <w:rFonts w:ascii="Lucida Grande CE" w:eastAsia="Times New Roman" w:hAnsi="Lucida Grande CE" w:cs="Lucida Grande CE"/>
      <w:sz w:val="18"/>
      <w:szCs w:val="18"/>
      <w:lang w:val="pl-PL"/>
    </w:rPr>
  </w:style>
  <w:style w:type="paragraph" w:styleId="ListParagraph">
    <w:name w:val="List Paragraph"/>
    <w:basedOn w:val="Normal"/>
    <w:uiPriority w:val="34"/>
    <w:qFormat/>
    <w:rsid w:val="001850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6C4"/>
    <w:rPr>
      <w:rFonts w:ascii="Arial" w:eastAsiaTheme="majorEastAsia" w:hAnsi="Arial" w:cs="Arial"/>
      <w:b/>
      <w:bCs/>
      <w:sz w:val="20"/>
      <w:szCs w:val="20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rsid w:val="00031A4C"/>
    <w:rPr>
      <w:rFonts w:ascii="Arial" w:eastAsiaTheme="majorEastAsia" w:hAnsi="Arial" w:cs="Arial"/>
      <w:b/>
      <w:bCs/>
      <w:sz w:val="20"/>
      <w:szCs w:val="20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rsid w:val="0065248E"/>
    <w:rPr>
      <w:rFonts w:ascii="Arial" w:eastAsiaTheme="majorEastAsia" w:hAnsi="Arial" w:cs="Arial"/>
      <w:bCs/>
      <w:sz w:val="20"/>
      <w:szCs w:val="20"/>
      <w:u w:val="single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4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4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48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4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4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4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385"/>
    <w:pPr>
      <w:spacing w:line="360" w:lineRule="auto"/>
      <w:jc w:val="both"/>
    </w:pPr>
    <w:rPr>
      <w:rFonts w:ascii="Arial" w:eastAsia="Arial" w:hAnsi="Arial" w:cs="Arial"/>
      <w:sz w:val="20"/>
      <w:szCs w:val="20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6C4"/>
    <w:pPr>
      <w:keepNext/>
      <w:keepLines/>
      <w:numPr>
        <w:numId w:val="18"/>
      </w:numPr>
      <w:spacing w:before="120"/>
      <w:outlineLvl w:val="0"/>
    </w:pPr>
    <w:rPr>
      <w:rFonts w:eastAsiaTheme="majorEastAsia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A4C"/>
    <w:pPr>
      <w:keepNext/>
      <w:keepLines/>
      <w:numPr>
        <w:ilvl w:val="1"/>
        <w:numId w:val="18"/>
      </w:numPr>
      <w:spacing w:before="120"/>
      <w:outlineLvl w:val="1"/>
    </w:pPr>
    <w:rPr>
      <w:rFonts w:eastAsiaTheme="majorEastAsia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248E"/>
    <w:pPr>
      <w:keepNext/>
      <w:keepLines/>
      <w:numPr>
        <w:ilvl w:val="2"/>
        <w:numId w:val="18"/>
      </w:numPr>
      <w:spacing w:before="60"/>
      <w:outlineLvl w:val="2"/>
    </w:pPr>
    <w:rPr>
      <w:rFonts w:eastAsiaTheme="majorEastAsia"/>
      <w:bCs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48E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4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4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4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4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4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AEF"/>
    <w:pPr>
      <w:spacing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EF"/>
    <w:rPr>
      <w:rFonts w:ascii="Lucida Grande CE" w:eastAsia="Times New Roman" w:hAnsi="Lucida Grande CE" w:cs="Lucida Grande CE"/>
      <w:sz w:val="18"/>
      <w:szCs w:val="18"/>
      <w:lang w:val="pl-PL"/>
    </w:rPr>
  </w:style>
  <w:style w:type="paragraph" w:styleId="ListParagraph">
    <w:name w:val="List Paragraph"/>
    <w:basedOn w:val="Normal"/>
    <w:uiPriority w:val="34"/>
    <w:qFormat/>
    <w:rsid w:val="001850C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826C4"/>
    <w:rPr>
      <w:rFonts w:ascii="Arial" w:eastAsiaTheme="majorEastAsia" w:hAnsi="Arial" w:cs="Arial"/>
      <w:b/>
      <w:bCs/>
      <w:sz w:val="20"/>
      <w:szCs w:val="20"/>
      <w:lang w:val="pl-PL"/>
    </w:rPr>
  </w:style>
  <w:style w:type="character" w:customStyle="1" w:styleId="Heading2Char">
    <w:name w:val="Heading 2 Char"/>
    <w:basedOn w:val="DefaultParagraphFont"/>
    <w:link w:val="Heading2"/>
    <w:uiPriority w:val="9"/>
    <w:rsid w:val="00031A4C"/>
    <w:rPr>
      <w:rFonts w:ascii="Arial" w:eastAsiaTheme="majorEastAsia" w:hAnsi="Arial" w:cs="Arial"/>
      <w:b/>
      <w:bCs/>
      <w:sz w:val="20"/>
      <w:szCs w:val="20"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rsid w:val="0065248E"/>
    <w:rPr>
      <w:rFonts w:ascii="Arial" w:eastAsiaTheme="majorEastAsia" w:hAnsi="Arial" w:cs="Arial"/>
      <w:bCs/>
      <w:sz w:val="20"/>
      <w:szCs w:val="20"/>
      <w:u w:val="single"/>
      <w:lang w:val="pl-P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4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pl-P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48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48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4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4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4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1623</Words>
  <Characters>9253</Characters>
  <Application>Microsoft Macintosh Word</Application>
  <DocSecurity>0</DocSecurity>
  <Lines>77</Lines>
  <Paragraphs>21</Paragraphs>
  <ScaleCrop>false</ScaleCrop>
  <Company>44STO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Twardoch</dc:creator>
  <cp:keywords/>
  <dc:description/>
  <cp:lastModifiedBy>Marta</cp:lastModifiedBy>
  <cp:revision>2</cp:revision>
  <cp:lastPrinted>2015-12-14T11:59:00Z</cp:lastPrinted>
  <dcterms:created xsi:type="dcterms:W3CDTF">2015-12-15T13:28:00Z</dcterms:created>
  <dcterms:modified xsi:type="dcterms:W3CDTF">2015-12-15T13:28:00Z</dcterms:modified>
</cp:coreProperties>
</file>